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Yangon, Myanmar | Serving the Greater Yangon Metropolitan Region</w:t>
      </w:r>
    </w:p>
    <w:p>
      <w:pPr>
        <w:pStyle w:val="BodyText"/>
      </w:pPr>
      <w:r>
        <w:t xml:space="preserve">Document Reference: QE-YGN-2025-0047</w:t>
      </w:r>
    </w:p>
    <w:bookmarkEnd w:id="20"/>
    <w:p>
      <w:pPr>
        <w:pStyle w:val="BodyText"/>
      </w:pPr>
      <w:r>
        <w:rPr>
          <w:bCs/>
          <w:b/>
        </w:rPr>
        <w:t xml:space="preserve">Prepared By:</w:t>
      </w:r>
      <w:r>
        <w:br/>
      </w:r>
      <w:r>
        <w:t xml:space="preserve">Golden Pagoda Business Consulting Co., Ltd.</w:t>
      </w:r>
      <w:r>
        <w:br/>
      </w:r>
      <w:r>
        <w:t xml:space="preserve">No. 12, 27th Street, Kamayut Township</w:t>
      </w:r>
      <w:r>
        <w:br/>
      </w:r>
      <w:r>
        <w:t xml:space="preserve">Yangon, Myanmar</w:t>
      </w:r>
      <w:r>
        <w:br/>
      </w:r>
      <w:r>
        <w:t xml:space="preserve">Tel: +95-9-795-XXXXXX</w:t>
      </w:r>
      <w:r>
        <w:br/>
      </w:r>
      <w:r>
        <w:t xml:space="preserve">Email: info@goldenpagodaconsulting.mm</w:t>
      </w:r>
    </w:p>
    <w:p>
      <w:pPr>
        <w:pStyle w:val="BodyText"/>
      </w:pPr>
      <w:r>
        <w:rPr>
          <w:bCs/>
          <w:b/>
        </w:rPr>
        <w:t xml:space="preserve">Prepared For:</w:t>
      </w:r>
      <w:r>
        <w:br/>
      </w:r>
      <w:r>
        <w:t xml:space="preserve">[Client Company Name]</w:t>
      </w:r>
      <w:r>
        <w:br/>
      </w:r>
      <w:r>
        <w:t xml:space="preserve">[Client Address], Yangon, Myanmar</w:t>
      </w:r>
      <w:r>
        <w:br/>
      </w:r>
      <w:r>
        <w:t xml:space="preserve">Contact Person: [Name]</w:t>
      </w:r>
      <w:r>
        <w:br/>
      </w:r>
      <w:r>
        <w:t xml:space="preserve">Email: [client@email.com]</w:t>
      </w:r>
    </w:p>
    <w:p>
      <w:pPr>
        <w:pStyle w:val="BodyText"/>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July 2025 (30 days)</w:t>
      </w:r>
    </w:p>
    <w:p>
      <w:pPr>
        <w:pStyle w:val="BodyText"/>
      </w:pPr>
      <w:r>
        <w:rPr>
          <w:bCs/>
          <w:b/>
        </w:rPr>
        <w:t xml:space="preserve">Currency:</w:t>
      </w:r>
      <w:r>
        <w:t xml:space="preserve"> </w:t>
      </w:r>
      <w:r>
        <w:t xml:space="preserve">Myanmar Kyat (MMK) / US Dollar (USD)</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Golden Pagoda Business Consulting Co., Ltd. to provide a comprehensive and transparent breakdown of professional fees, deliverables, and associated costs for the engagement of a</w:t>
      </w:r>
      <w:r>
        <w:t xml:space="preserve"> </w:t>
      </w:r>
      <w:r>
        <w:t xml:space="preserve">Business Consultant</w:t>
      </w:r>
      <w:r>
        <w:t xml:space="preserve"> </w:t>
      </w:r>
      <w:r>
        <w:t xml:space="preserve">to support the client's strategic growth initiatives in</w:t>
      </w:r>
      <w:r>
        <w:t xml:space="preserve"> </w:t>
      </w:r>
      <w:r>
        <w:t xml:space="preserve">Myanmar Yangon</w:t>
      </w:r>
      <w:r>
        <w:t xml:space="preserve">. This document serves as a formal proposal outlining the scope of work, timeline, and financial terms under which our</w:t>
      </w:r>
      <w:r>
        <w:t xml:space="preserve"> </w:t>
      </w:r>
      <w:r>
        <w:t xml:space="preserve">Business Consultant</w:t>
      </w:r>
      <w:r>
        <w:t xml:space="preserve"> </w:t>
      </w:r>
      <w:r>
        <w:t xml:space="preserve">team will deliver advisory services tailored to the unique regulatory, cultural, and market conditions of the Yangon business environment.</w:t>
      </w:r>
    </w:p>
    <w:bookmarkEnd w:id="21"/>
    <w:bookmarkStart w:id="22" w:name="scope-of-business-consultant-services"/>
    <w:p>
      <w:pPr>
        <w:pStyle w:val="Heading2"/>
      </w:pPr>
      <w:r>
        <w:t xml:space="preserve">2. Scope of Business Consultant Services</w:t>
      </w:r>
    </w:p>
    <w:p>
      <w:pPr>
        <w:pStyle w:val="FirstParagraph"/>
      </w:pPr>
      <w:r>
        <w:t xml:space="preserve">Our</w:t>
      </w:r>
      <w:r>
        <w:t xml:space="preserve"> </w:t>
      </w:r>
      <w:r>
        <w:t xml:space="preserve">Business Consultant</w:t>
      </w:r>
      <w:r>
        <w:t xml:space="preserve"> </w:t>
      </w:r>
      <w:r>
        <w:t xml:space="preserve">will provide the following services to the client, all conducted primarily at the client's premises in Yangon or at our office in Kamayut Township, Yangon:</w:t>
      </w:r>
    </w:p>
    <w:p>
      <w:pPr>
        <w:numPr>
          <w:ilvl w:val="0"/>
          <w:numId w:val="1001"/>
        </w:numPr>
        <w:pStyle w:val="Compact"/>
      </w:pPr>
      <w:r>
        <w:rPr>
          <w:bCs/>
          <w:b/>
        </w:rPr>
        <w:t xml:space="preserve">Strategic Business Planning:</w:t>
      </w:r>
      <w:r>
        <w:t xml:space="preserve"> </w:t>
      </w:r>
      <w:r>
        <w:t xml:space="preserve">Development of a three-year strategic roadmap aligned with Myanmar's evolving economic landscape, including analysis of the Yangon Special Economic Zone opportunities and national investment policies.</w:t>
      </w:r>
    </w:p>
    <w:p>
      <w:pPr>
        <w:numPr>
          <w:ilvl w:val="0"/>
          <w:numId w:val="1001"/>
        </w:numPr>
        <w:pStyle w:val="Compact"/>
      </w:pPr>
      <w:r>
        <w:rPr>
          <w:bCs/>
          <w:b/>
        </w:rPr>
        <w:t xml:space="preserve">Market Entry &amp; Expansion Advisory:</w:t>
      </w:r>
      <w:r>
        <w:t xml:space="preserve"> </w:t>
      </w:r>
      <w:r>
        <w:t xml:space="preserve">Comprehensive market research and feasibility studies for new product or service launches within the Yangon metropolitan area and surrounding townships.</w:t>
      </w:r>
    </w:p>
    <w:p>
      <w:pPr>
        <w:numPr>
          <w:ilvl w:val="0"/>
          <w:numId w:val="1001"/>
        </w:numPr>
        <w:pStyle w:val="Compact"/>
      </w:pPr>
      <w:r>
        <w:rPr>
          <w:bCs/>
          <w:b/>
        </w:rPr>
        <w:t xml:space="preserve">Operational Process Optimization:</w:t>
      </w:r>
      <w:r>
        <w:t xml:space="preserve"> </w:t>
      </w:r>
      <w:r>
        <w:t xml:space="preserve">Assessment and redesign of internal business processes to improve efficiency, reduce operational costs, and enhance service delivery standards.</w:t>
      </w:r>
    </w:p>
    <w:p>
      <w:pPr>
        <w:numPr>
          <w:ilvl w:val="0"/>
          <w:numId w:val="1001"/>
        </w:numPr>
        <w:pStyle w:val="Compact"/>
      </w:pPr>
      <w:r>
        <w:rPr>
          <w:bCs/>
          <w:b/>
        </w:rPr>
        <w:t xml:space="preserve">Regulatory &amp; Compliance Guidance:</w:t>
      </w:r>
      <w:r>
        <w:t xml:space="preserve"> </w:t>
      </w:r>
      <w:r>
        <w:t xml:space="preserve">Navigation of Myanmar's business registration, tax obligations, foreign investment laws, and industry-specific licensing requirements applicable in Yangon.</w:t>
      </w:r>
    </w:p>
    <w:p>
      <w:pPr>
        <w:numPr>
          <w:ilvl w:val="0"/>
          <w:numId w:val="1001"/>
        </w:numPr>
        <w:pStyle w:val="Compact"/>
      </w:pPr>
      <w:r>
        <w:rPr>
          <w:bCs/>
          <w:b/>
        </w:rPr>
        <w:t xml:space="preserve">Human Resource &amp; Organizational Development:</w:t>
      </w:r>
      <w:r>
        <w:t xml:space="preserve"> </w:t>
      </w:r>
      <w:r>
        <w:t xml:space="preserve">Design of performance management frameworks, leadership training programs, and workforce planning strategies suited to the local talent pool in Myanmar Yangon.</w:t>
      </w:r>
    </w:p>
    <w:p>
      <w:pPr>
        <w:numPr>
          <w:ilvl w:val="0"/>
          <w:numId w:val="1001"/>
        </w:numPr>
        <w:pStyle w:val="Compact"/>
      </w:pPr>
      <w:r>
        <w:rPr>
          <w:bCs/>
          <w:b/>
        </w:rPr>
        <w:t xml:space="preserve">Financial Modeling &amp; Investment Analysis:</w:t>
      </w:r>
      <w:r>
        <w:t xml:space="preserve"> </w:t>
      </w:r>
      <w:r>
        <w:t xml:space="preserve">Construction of detailed financial projections, cash flow models, and return-on-investment analyses to support board-level decision-making.</w:t>
      </w:r>
    </w:p>
    <w:p>
      <w:pPr>
        <w:numPr>
          <w:ilvl w:val="0"/>
          <w:numId w:val="1001"/>
        </w:numPr>
        <w:pStyle w:val="Compact"/>
      </w:pPr>
      <w:r>
        <w:rPr>
          <w:bCs/>
          <w:b/>
        </w:rPr>
        <w:t xml:space="preserve">Digital Transformation Roadmap:</w:t>
      </w:r>
      <w:r>
        <w:t xml:space="preserve"> </w:t>
      </w:r>
      <w:r>
        <w:t xml:space="preserve">Assessment of current technology infrastructure and development of a phased digital adoption plan appropriate for the Yangon market context.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Initial Diagnostic Assessment &amp; Discovery Workshop</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Strategic Business Plan Development &amp; Presentation</w:t>
            </w:r>
          </w:p>
        </w:tc>
        <w:tc>
          <w:tcPr/>
          <w:p>
            <w:pPr>
              <w:pStyle w:val="Compact"/>
              <w:jc w:val="left"/>
            </w:pPr>
            <w:r>
              <w:t xml:space="preserve">4 weeks</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Market Research &amp; Feasibility Study (Yangon Region)</w:t>
            </w:r>
          </w:p>
        </w:tc>
        <w:tc>
          <w:tcPr/>
          <w:p>
            <w:pPr>
              <w:pStyle w:val="Compact"/>
              <w:jc w:val="left"/>
            </w:pPr>
            <w:r>
              <w:t xml:space="preserve">3 weeks</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10,400,000</w:t>
            </w:r>
          </w:p>
        </w:tc>
      </w:tr>
      <w:tr>
        <w:tc>
          <w:tcPr/>
          <w:p>
            <w:pPr>
              <w:pStyle w:val="Compact"/>
              <w:jc w:val="left"/>
            </w:pPr>
            <w:r>
              <w:t xml:space="preserve">4</w:t>
            </w:r>
          </w:p>
        </w:tc>
        <w:tc>
          <w:tcPr/>
          <w:p>
            <w:pPr>
              <w:pStyle w:val="Compact"/>
              <w:jc w:val="left"/>
            </w:pPr>
            <w:r>
              <w:t xml:space="preserve">Operational Process Redesign &amp; Implementation Support</w:t>
            </w:r>
          </w:p>
        </w:tc>
        <w:tc>
          <w:tcPr/>
          <w:p>
            <w:pPr>
              <w:pStyle w:val="Compact"/>
              <w:jc w:val="left"/>
            </w:pPr>
            <w:r>
              <w:t xml:space="preserve">6 weeks</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19,200,000</w:t>
            </w:r>
          </w:p>
        </w:tc>
      </w:tr>
      <w:tr>
        <w:tc>
          <w:tcPr/>
          <w:p>
            <w:pPr>
              <w:pStyle w:val="Compact"/>
              <w:jc w:val="left"/>
            </w:pPr>
            <w:r>
              <w:t xml:space="preserve">5</w:t>
            </w:r>
          </w:p>
        </w:tc>
        <w:tc>
          <w:tcPr/>
          <w:p>
            <w:pPr>
              <w:pStyle w:val="Compact"/>
              <w:jc w:val="left"/>
            </w:pPr>
            <w:r>
              <w:t xml:space="preserve">Regulatory Compliance &amp; Licensing Advisory</w:t>
            </w:r>
          </w:p>
        </w:tc>
        <w:tc>
          <w:tcPr/>
          <w:p>
            <w:pPr>
              <w:pStyle w:val="Compact"/>
              <w:jc w:val="left"/>
            </w:pPr>
            <w:r>
              <w:t xml:space="preserve">2 weeks</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HR Framework Design &amp; Leadership Training (2 sessions)</w:t>
            </w:r>
          </w:p>
        </w:tc>
        <w:tc>
          <w:tcPr/>
          <w:p>
            <w:pPr>
              <w:pStyle w:val="Compact"/>
              <w:jc w:val="left"/>
            </w:pPr>
            <w:r>
              <w:t xml:space="preserve">3 weeks</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8,800,000</w:t>
            </w:r>
          </w:p>
        </w:tc>
      </w:tr>
      <w:tr>
        <w:tc>
          <w:tcPr/>
          <w:p>
            <w:pPr>
              <w:pStyle w:val="Compact"/>
              <w:jc w:val="left"/>
            </w:pPr>
            <w:r>
              <w:t xml:space="preserve">7</w:t>
            </w:r>
          </w:p>
        </w:tc>
        <w:tc>
          <w:tcPr/>
          <w:p>
            <w:pPr>
              <w:pStyle w:val="Compact"/>
              <w:jc w:val="left"/>
            </w:pPr>
            <w:r>
              <w:t xml:space="preserve">Financial Modeling &amp; Investment Analysis Report</w:t>
            </w:r>
          </w:p>
        </w:tc>
        <w:tc>
          <w:tcPr/>
          <w:p>
            <w:pPr>
              <w:pStyle w:val="Compact"/>
              <w:jc w:val="left"/>
            </w:pPr>
            <w:r>
              <w:t xml:space="preserve">2 weeks</w:t>
            </w:r>
          </w:p>
        </w:tc>
        <w:tc>
          <w:tcPr/>
          <w:p>
            <w:pPr>
              <w:pStyle w:val="Compact"/>
              <w:jc w:val="left"/>
            </w:pPr>
            <w:r>
              <w:t xml:space="preserve">$4,000</w:t>
            </w:r>
          </w:p>
        </w:tc>
        <w:tc>
          <w:tcPr/>
          <w:p>
            <w:pPr>
              <w:pStyle w:val="Compact"/>
              <w:jc w:val="left"/>
            </w:pPr>
            <w:r>
              <w:t xml:space="preserve">$4,000</w:t>
            </w:r>
          </w:p>
        </w:tc>
        <w:tc>
          <w:tcPr/>
          <w:p>
            <w:pPr>
              <w:pStyle w:val="Compact"/>
              <w:jc w:val="left"/>
            </w:pPr>
            <w:r>
              <w:t xml:space="preserve">6,400,000</w:t>
            </w:r>
          </w:p>
        </w:tc>
      </w:tr>
      <w:tr>
        <w:tc>
          <w:tcPr/>
          <w:p>
            <w:pPr>
              <w:pStyle w:val="Compact"/>
              <w:jc w:val="left"/>
            </w:pPr>
            <w:r>
              <w:t xml:space="preserve">8</w:t>
            </w:r>
          </w:p>
        </w:tc>
        <w:tc>
          <w:tcPr/>
          <w:p>
            <w:pPr>
              <w:pStyle w:val="Compact"/>
              <w:jc w:val="left"/>
            </w:pPr>
            <w:r>
              <w:t xml:space="preserve">Digital Transformation Roadmap &amp; Vendor Shortlist</w:t>
            </w:r>
          </w:p>
        </w:tc>
        <w:tc>
          <w:tcPr/>
          <w:p>
            <w:pPr>
              <w:pStyle w:val="Compact"/>
              <w:jc w:val="left"/>
            </w:pPr>
            <w:r>
              <w:t xml:space="preserve">3 weeks</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8,000,000</w:t>
            </w:r>
          </w:p>
        </w:tc>
      </w:tr>
      <w:tr>
        <w:tc>
          <w:tcPr/>
          <w:p>
            <w:pPr>
              <w:pStyle w:val="Compact"/>
              <w:jc w:val="left"/>
            </w:pPr>
            <w:r>
              <w:t xml:space="preserve">9</w:t>
            </w:r>
          </w:p>
        </w:tc>
        <w:tc>
          <w:tcPr/>
          <w:p>
            <w:pPr>
              <w:pStyle w:val="Compact"/>
              <w:jc w:val="left"/>
            </w:pPr>
            <w:r>
              <w:t xml:space="preserve">Ongoing Advisory Retainer (Monthly, 6 months)</w:t>
            </w:r>
          </w:p>
        </w:tc>
        <w:tc>
          <w:tcPr/>
          <w:p>
            <w:pPr>
              <w:pStyle w:val="Compact"/>
              <w:jc w:val="left"/>
            </w:pPr>
            <w:r>
              <w:t xml:space="preserve">6 months</w:t>
            </w:r>
          </w:p>
        </w:tc>
        <w:tc>
          <w:tcPr/>
          <w:p>
            <w:pPr>
              <w:pStyle w:val="Compact"/>
              <w:jc w:val="left"/>
            </w:pPr>
            <w:r>
              <w:t xml:space="preserve">$1,200/mo</w:t>
            </w:r>
          </w:p>
        </w:tc>
        <w:tc>
          <w:tcPr/>
          <w:p>
            <w:pPr>
              <w:pStyle w:val="Compact"/>
              <w:jc w:val="left"/>
            </w:pPr>
            <w:r>
              <w:t xml:space="preserve">$7,200</w:t>
            </w:r>
          </w:p>
        </w:tc>
        <w:tc>
          <w:tcPr/>
          <w:p>
            <w:pPr>
              <w:pStyle w:val="Compact"/>
              <w:jc w:val="left"/>
            </w:pPr>
            <w:r>
              <w:t xml:space="preserve">11,520,000</w:t>
            </w:r>
          </w:p>
        </w:tc>
      </w:tr>
      <w:tr>
        <w:tc>
          <w:tcPr/>
          <w:p>
            <w:pPr>
              <w:pStyle w:val="Compact"/>
              <w:jc w:val="left"/>
            </w:pPr>
            <w:r>
              <w:t xml:space="preserve">10</w:t>
            </w:r>
          </w:p>
        </w:tc>
        <w:tc>
          <w:tcPr/>
          <w:p>
            <w:pPr>
              <w:pStyle w:val="Compact"/>
              <w:jc w:val="left"/>
            </w:pPr>
            <w:r>
              <w:t xml:space="preserve">Travel, Accommodation &amp; Local Logistics (Yangon)</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$1,800</w:t>
            </w:r>
          </w:p>
        </w:tc>
        <w:tc>
          <w:tcPr/>
          <w:p>
            <w:pPr>
              <w:pStyle w:val="Compact"/>
              <w:jc w:val="left"/>
            </w:pPr>
            <w:r>
              <w:t xml:space="preserve">2,880,000</w:t>
            </w:r>
          </w:p>
        </w:tc>
      </w:tr>
      <w:tr>
        <w:tc>
          <w:tcPr>
            <w:gridSpan w:val="4"/>
          </w:tcPr>
          <w:p>
            <w:pPr>
              <w:pStyle w:val="Compact"/>
              <w:jc w:val="left"/>
            </w:pPr>
            <w:r>
              <w:rPr>
                <w:bCs/>
                <w:b/>
              </w:rPr>
              <w:t xml:space="preserve">TOTAL ESTIMATED COST</w:t>
            </w:r>
          </w:p>
        </w:tc>
        <w:tc>
          <w:tcPr/>
          <w:p>
            <w:pPr>
              <w:pStyle w:val="Compact"/>
              <w:jc w:val="left"/>
            </w:pPr>
            <w:r>
              <w:rPr>
                <w:bCs/>
                <w:b/>
              </w:rPr>
              <w:t xml:space="preserve">$58,000</w:t>
            </w:r>
          </w:p>
        </w:tc>
        <w:tc>
          <w:tcPr/>
          <w:p>
            <w:pPr>
              <w:pStyle w:val="Compact"/>
              <w:jc w:val="left"/>
            </w:pPr>
            <w:r>
              <w:rPr>
                <w:bCs/>
                <w:b/>
              </w:rPr>
              <w:t xml:space="preserve">92,800,000</w:t>
            </w:r>
          </w:p>
        </w:tc>
      </w:tr>
    </w:tbl>
    <w:p>
      <w:pPr>
        <w:pStyle w:val="BodyText"/>
      </w:pPr>
      <w:r>
        <w:rPr>
          <w:bCs/>
          <w:b/>
        </w:rPr>
        <w:t xml:space="preserve">Note:</w:t>
      </w:r>
      <w:r>
        <w:t xml:space="preserve"> </w:t>
      </w:r>
      <w:r>
        <w:t xml:space="preserve">The Myanmar Kyat conversion is based on an indicative exchange rate of 1 USD = 1,600 MMK as of the date of this</w:t>
      </w:r>
      <w:r>
        <w:t xml:space="preserve"> </w:t>
      </w:r>
      <w:r>
        <w:t xml:space="preserve">Quotation Estimate</w:t>
      </w:r>
      <w:r>
        <w:t xml:space="preserve">. Final MMK amounts shall be confirmed at the time of invoice issuance. All prices are exclusive of applicable Myanmar government taxes, including 5% Service Tax and 5% Withholding Tax, unless otherwise stated.</w:t>
      </w:r>
    </w:p>
    <w:bookmarkEnd w:id="23"/>
    <w:bookmarkStart w:id="24" w:name="project-timeline"/>
    <w:p>
      <w:pPr>
        <w:pStyle w:val="Heading2"/>
      </w:pPr>
      <w:r>
        <w:t xml:space="preserve">4. Project Timeline</w:t>
      </w:r>
    </w:p>
    <w:p>
      <w:pPr>
        <w:pStyle w:val="FirstParagraph"/>
      </w:pPr>
      <w:r>
        <w:t xml:space="preserve">The total engagement period for the</w:t>
      </w:r>
      <w:r>
        <w:t xml:space="preserve"> </w:t>
      </w:r>
      <w:r>
        <w:t xml:space="preserve">Business Consultant</w:t>
      </w:r>
      <w:r>
        <w:t xml:space="preserve"> </w:t>
      </w:r>
      <w:r>
        <w:t xml:space="preserve">services outlined in this</w:t>
      </w:r>
      <w:r>
        <w:t xml:space="preserve"> </w:t>
      </w:r>
      <w:r>
        <w:t xml:space="preserve">Quotation Estimate</w:t>
      </w:r>
      <w:r>
        <w:t xml:space="preserve"> </w:t>
      </w:r>
      <w:r>
        <w:t xml:space="preserve">is approximately</w:t>
      </w:r>
      <w:r>
        <w:t xml:space="preserve"> </w:t>
      </w:r>
      <w:r>
        <w:rPr>
          <w:bCs/>
          <w:b/>
        </w:rPr>
        <w:t xml:space="preserve">24 weeks (6 months)</w:t>
      </w:r>
      <w:r>
        <w:t xml:space="preserve"> </w:t>
      </w:r>
      <w:r>
        <w:t xml:space="preserve">from the date of contract execution. The project will be executed in phases with milestone-based deliverables. A detailed Gantt chart and weekly progress reporting schedule will be provided upon contract signing. All on-site work will be conducted in</w:t>
      </w:r>
      <w:r>
        <w:t xml:space="preserve"> </w:t>
      </w:r>
      <w:r>
        <w:t xml:space="preserve">Myanmar Yangon</w:t>
      </w:r>
      <w:r>
        <w:t xml:space="preserve">, with the primary work location at the client's registered office.</w:t>
      </w:r>
    </w:p>
    <w:bookmarkEnd w:id="24"/>
    <w:bookmarkStart w:id="25"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30% of the total</w:t>
      </w:r>
      <w:r>
        <w:t xml:space="preserve"> </w:t>
      </w:r>
      <w:r>
        <w:t xml:space="preserve">Quotation Estimate</w:t>
      </w:r>
      <w:r>
        <w:t xml:space="preserve"> </w:t>
      </w:r>
      <w:r>
        <w:t xml:space="preserve">value ($17,400 / 27,840,000 MMK) due within 7 business days of contract signing.</w:t>
      </w:r>
    </w:p>
    <w:p>
      <w:pPr>
        <w:numPr>
          <w:ilvl w:val="0"/>
          <w:numId w:val="1002"/>
        </w:numPr>
        <w:pStyle w:val="Compact"/>
      </w:pPr>
      <w:r>
        <w:rPr>
          <w:bCs/>
          <w:b/>
        </w:rPr>
        <w:t xml:space="preserve">Milestone Payments:</w:t>
      </w:r>
      <w:r>
        <w:t xml:space="preserve"> </w:t>
      </w:r>
      <w:r>
        <w:t xml:space="preserve">50% of the total value ($29,000 / 46,400,000 MMK) payable in equal installments upon completion of each major project phase as defined in the Statement of Work.</w:t>
      </w:r>
    </w:p>
    <w:p>
      <w:pPr>
        <w:numPr>
          <w:ilvl w:val="0"/>
          <w:numId w:val="1002"/>
        </w:numPr>
        <w:pStyle w:val="Compact"/>
      </w:pPr>
      <w:r>
        <w:rPr>
          <w:bCs/>
          <w:b/>
        </w:rPr>
        <w:t xml:space="preserve">Final Payment:</w:t>
      </w:r>
      <w:r>
        <w:t xml:space="preserve"> </w:t>
      </w:r>
      <w:r>
        <w:t xml:space="preserve">20% of the total value ($11,600 / 18,560,000 MMK) due upon final project delivery and client sign-off.</w:t>
      </w:r>
    </w:p>
    <w:p>
      <w:pPr>
        <w:numPr>
          <w:ilvl w:val="0"/>
          <w:numId w:val="1002"/>
        </w:numPr>
        <w:pStyle w:val="Compact"/>
      </w:pPr>
      <w:r>
        <w:rPr>
          <w:bCs/>
          <w:b/>
        </w:rPr>
        <w:t xml:space="preserve">Retainer Fees:</w:t>
      </w:r>
      <w:r>
        <w:t xml:space="preserve"> </w:t>
      </w:r>
      <w:r>
        <w:t xml:space="preserve">Monthly advisory retainer of $1,200 (1,920,000 MMK) payable in advance on the 1st of each month.</w:t>
      </w:r>
    </w:p>
    <w:p>
      <w:pPr>
        <w:numPr>
          <w:ilvl w:val="0"/>
          <w:numId w:val="1002"/>
        </w:numPr>
        <w:pStyle w:val="Compact"/>
      </w:pPr>
      <w:r>
        <w:rPr>
          <w:bCs/>
          <w:b/>
        </w:rPr>
        <w:t xml:space="preserve">Payment Method:</w:t>
      </w:r>
      <w:r>
        <w:t xml:space="preserve"> </w:t>
      </w:r>
      <w:r>
        <w:t xml:space="preserve">Bank transfer to the consulting firm's designated account at a licensed commercial bank in Yangon, Myanmar. International wire transfers are also accepted with applicable bank charges borne by the client.</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30 calendar days</w:t>
      </w:r>
      <w:r>
        <w:t xml:space="preserve"> </w:t>
      </w:r>
      <w:r>
        <w:t xml:space="preserve">from the date of issue. Beyond this period, pricing and availability of the</w:t>
      </w:r>
      <w:r>
        <w:t xml:space="preserve"> </w:t>
      </w:r>
      <w:r>
        <w:t xml:space="preserve">Business Consultant</w:t>
      </w:r>
      <w:r>
        <w:t xml:space="preserve"> </w:t>
      </w:r>
      <w:r>
        <w:t xml:space="preserve">team are subject to reconfirmation.</w:t>
      </w:r>
    </w:p>
    <w:p>
      <w:pPr>
        <w:numPr>
          <w:ilvl w:val="0"/>
          <w:numId w:val="1003"/>
        </w:numPr>
        <w:pStyle w:val="Compact"/>
      </w:pPr>
      <w:r>
        <w:t xml:space="preserve">All intellectual property, reports, and deliverables produced under this engagement shall become the property of the client upon full payment of all fees.</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of all client information, trade secrets, and proprietary data in accordance with Myanmar's applicable data protection regulations and the mutual Non-Disclosure Agreement (NDA) to be executed prior to project commencement.</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shall be subject to a formal change order and additional fees, to be agreed upon in writing by both parties.</w:t>
      </w:r>
    </w:p>
    <w:p>
      <w:pPr>
        <w:numPr>
          <w:ilvl w:val="0"/>
          <w:numId w:val="1003"/>
        </w:numPr>
        <w:pStyle w:val="Compact"/>
      </w:pPr>
      <w:r>
        <w:t xml:space="preserve">The consulting firm shall not be liable for any indirect, consequential, or punitive damages arising from the use of the advice, recommendations, or deliverables provided by the</w:t>
      </w:r>
      <w:r>
        <w:t xml:space="preserve"> </w:t>
      </w:r>
      <w:r>
        <w:t xml:space="preserve">Business Consultant</w:t>
      </w:r>
      <w:r>
        <w:t xml:space="preserve">.</w:t>
      </w:r>
    </w:p>
    <w:p>
      <w:pPr>
        <w:numPr>
          <w:ilvl w:val="0"/>
          <w:numId w:val="1003"/>
        </w:numPr>
        <w:pStyle w:val="Compact"/>
      </w:pPr>
      <w:r>
        <w:t xml:space="preserve">This agreement shall be governed by and construed in accordance with the laws of the Republic of the Union of Myanmar. Any disputes shall be resolved through amicable negotiation, failing which they shall be submitted to arbitration in Yangon under the rules of the Myanmar Arbitration Centre.</w:t>
      </w:r>
    </w:p>
    <w:p>
      <w:pPr>
        <w:numPr>
          <w:ilvl w:val="0"/>
          <w:numId w:val="1003"/>
        </w:numPr>
        <w:pStyle w:val="Compact"/>
      </w:pPr>
      <w:r>
        <w:t xml:space="preserve">The client agrees to provide reasonable access to relevant personnel, data, and facilities in</w:t>
      </w:r>
      <w:r>
        <w:t xml:space="preserve"> </w:t>
      </w:r>
      <w:r>
        <w:t xml:space="preserve">Myanmar Yangon</w:t>
      </w:r>
      <w:r>
        <w:t xml:space="preserve"> </w:t>
      </w:r>
      <w:r>
        <w:t xml:space="preserve">to enable the</w:t>
      </w:r>
      <w:r>
        <w:t xml:space="preserve"> </w:t>
      </w:r>
      <w:r>
        <w:t xml:space="preserve">Business Consultant</w:t>
      </w:r>
      <w:r>
        <w:t xml:space="preserve"> </w:t>
      </w:r>
      <w:r>
        <w:t xml:space="preserve">to perform the services effectively.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to be delivered in</w:t>
      </w:r>
      <w:r>
        <w:t xml:space="preserve"> </w:t>
      </w:r>
      <w:r>
        <w:t xml:space="preserve">Myanmar Yangon</w:t>
      </w:r>
      <w:r>
        <w:t xml:space="preserve">. This document, once countersigned, shall constitute a binding agreement between the parties.</w:t>
      </w:r>
    </w:p>
    <w:p>
      <w:pPr>
        <w:pStyle w:val="BodyText"/>
      </w:pPr>
      <w:r>
        <w:rPr>
          <w:bCs/>
          <w:b/>
        </w:rPr>
        <w:t xml:space="preserve">For and on behalf of:</w:t>
      </w:r>
      <w:r>
        <w:br/>
      </w:r>
      <w:r>
        <w:t xml:space="preserve">Golden Pagoda Business Consulting Co., Ltd.</w:t>
      </w:r>
    </w:p>
    <w:p>
      <w:pPr>
        <w:pStyle w:val="BodyText"/>
      </w:pPr>
      <w:r>
        <w:t xml:space="preserve">Name: _________________________</w:t>
      </w:r>
      <w:r>
        <w:br/>
      </w:r>
      <w:r>
        <w:t xml:space="preserve">Title: Managing Director</w:t>
      </w:r>
      <w:r>
        <w:br/>
      </w:r>
      <w:r>
        <w:t xml:space="preserve">Signature &amp; Company Stamp</w:t>
      </w:r>
      <w:r>
        <w:br/>
      </w:r>
      <w:r>
        <w:t xml:space="preserve">Date: _________________________</w:t>
      </w:r>
    </w:p>
    <w:p>
      <w:pPr>
        <w:pStyle w:val="BodyText"/>
      </w:pPr>
      <w:r>
        <w:rPr>
          <w:bCs/>
          <w:b/>
        </w:rPr>
        <w:t xml:space="preserve">For and on behalf of:</w:t>
      </w:r>
      <w:r>
        <w:br/>
      </w:r>
      <w:r>
        <w:t xml:space="preserve">[Client Company Name]</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_________________________</w:t>
      </w:r>
    </w:p>
    <w:p>
      <w:pPr>
        <w:pStyle w:val="BodyText"/>
      </w:pPr>
      <w:r>
        <w:t xml:space="preserve">Golden Pagoda Business Consulting Co., Ltd. | No. 12, 27th Street, Kamayut Township, Yangon, Myanmar</w:t>
      </w:r>
    </w:p>
    <w:p>
      <w:pPr>
        <w:pStyle w:val="BodyText"/>
      </w:pPr>
      <w:r>
        <w:t xml:space="preserve">Company Registration No: 20190123456 | TIN: 30012345678</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Myanmar Yangon</dc:title>
  <dc:creator/>
  <dc:language>en</dc:language>
  <cp:keywords/>
  <dcterms:created xsi:type="dcterms:W3CDTF">2026-10-10T05:49:29Z</dcterms:created>
  <dcterms:modified xsi:type="dcterms:W3CDTF">2026-10-10T05:49:29Z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