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Business Consultant Services — New Zealand Auckland</w:t>
      </w:r>
    </w:p>
    <w:p>
      <w:pPr>
        <w:pStyle w:val="BodyText"/>
      </w:pPr>
      <w:r>
        <w:t xml:space="preserve">Document Reference: QE-AKL-2025-0472</w:t>
      </w:r>
    </w:p>
    <w:bookmarkEnd w:id="20"/>
    <w:p>
      <w:pPr>
        <w:pStyle w:val="BodyText"/>
      </w:pPr>
      <w:r>
        <w:rPr>
          <w:bCs/>
          <w:b/>
        </w:rPr>
        <w:t xml:space="preserve">Prepared By:</w:t>
      </w:r>
      <w:r>
        <w:t xml:space="preserve"> </w:t>
      </w:r>
      <w:r>
        <w:t xml:space="preserve">Meridian Strategic Advisory Ltd.</w:t>
      </w:r>
    </w:p>
    <w:p>
      <w:pPr>
        <w:pStyle w:val="BodyText"/>
      </w:pPr>
      <w:r>
        <w:t xml:space="preserve">142 Federal Street, Auckland CBD</w:t>
      </w:r>
    </w:p>
    <w:p>
      <w:pPr>
        <w:pStyle w:val="BodyText"/>
      </w:pPr>
      <w:r>
        <w:t xml:space="preserve">Auckland 1010, New Zealand</w:t>
      </w:r>
    </w:p>
    <w:p>
      <w:pPr>
        <w:pStyle w:val="BodyText"/>
      </w:pPr>
      <w:r>
        <w:t xml:space="preserve">Phone: +64 9 374 5521</w:t>
      </w:r>
    </w:p>
    <w:p>
      <w:pPr>
        <w:pStyle w:val="BodyText"/>
      </w:pPr>
      <w:r>
        <w:t xml:space="preserve">Email: enquiries@meridianstrategic.co.nz</w:t>
      </w:r>
    </w:p>
    <w:p>
      <w:pPr>
        <w:pStyle w:val="BodyText"/>
      </w:pPr>
      <w:r>
        <w:rPr>
          <w:bCs/>
          <w:b/>
        </w:rPr>
        <w:t xml:space="preserve">Date of Issue:</w:t>
      </w:r>
      <w:r>
        <w:t xml:space="preserve"> </w:t>
      </w:r>
      <w:r>
        <w:t xml:space="preserve">12 June 2025</w:t>
      </w:r>
    </w:p>
    <w:p>
      <w:pPr>
        <w:pStyle w:val="BodyText"/>
      </w:pPr>
      <w:r>
        <w:rPr>
          <w:bCs/>
          <w:b/>
        </w:rPr>
        <w:t xml:space="preserve">Quotation Valid Until:</w:t>
      </w:r>
      <w:r>
        <w:t xml:space="preserve"> </w:t>
      </w:r>
      <w:r>
        <w:t xml:space="preserve">12 September 2025</w:t>
      </w:r>
    </w:p>
    <w:p>
      <w:pPr>
        <w:pStyle w:val="BodyText"/>
      </w:pPr>
      <w:r>
        <w:rPr>
          <w:bCs/>
          <w:b/>
        </w:rPr>
        <w:t xml:space="preserve">Prepared For:</w:t>
      </w:r>
      <w:r>
        <w:t xml:space="preserve"> </w:t>
      </w:r>
      <w:r>
        <w:t xml:space="preserve">[Client Name / Company]</w:t>
      </w:r>
    </w:p>
    <w:p>
      <w:pPr>
        <w:pStyle w:val="BodyText"/>
      </w:pPr>
      <w:r>
        <w:rPr>
          <w:bCs/>
          <w:b/>
        </w:rPr>
        <w:t xml:space="preserve">Client Address:</w:t>
      </w:r>
      <w:r>
        <w:t xml:space="preserve"> </w:t>
      </w:r>
      <w:r>
        <w:t xml:space="preserve">Auckland, New Zealand</w:t>
      </w:r>
    </w:p>
    <w:bookmarkStart w:id="21" w:name="X091f0dfb82768bdcc14fb07ea5eabec314d991f"/>
    <w:p>
      <w:pPr>
        <w:pStyle w:val="Heading2"/>
      </w:pPr>
      <w:r>
        <w:t xml:space="preserve">1. Introduction and Purpose of This Quotation Estimate</w:t>
      </w:r>
    </w:p>
    <w:p>
      <w:pPr>
        <w:pStyle w:val="FirstParagraph"/>
      </w:pPr>
      <w:r>
        <w:t xml:space="preserve">Thank you for the opportunity to prepare this</w:t>
      </w:r>
      <w:r>
        <w:t xml:space="preserve"> </w:t>
      </w:r>
      <w:r>
        <w:t xml:space="preserve">Quotation Estimate</w:t>
      </w:r>
      <w:r>
        <w:t xml:space="preserve"> </w:t>
      </w:r>
      <w:r>
        <w:t xml:space="preserve">for your organisation. Meridian Strategic Advisory Ltd. is a registered New Zealand business specialising in executive-level advisory, operational restructuring, and growth strategy. This document outlines the scope, deliverables, and associated costs for engaging our</w:t>
      </w:r>
      <w:r>
        <w:t xml:space="preserve"> </w:t>
      </w:r>
      <w:r>
        <w:t xml:space="preserve">Business Consultant</w:t>
      </w:r>
      <w:r>
        <w:t xml:space="preserve"> </w:t>
      </w:r>
      <w:r>
        <w:t xml:space="preserve">team to support your enterprise within the</w:t>
      </w:r>
      <w:r>
        <w:t xml:space="preserve"> </w:t>
      </w:r>
      <w:r>
        <w:t xml:space="preserve">New Zealand Auckland</w:t>
      </w:r>
      <w:r>
        <w:t xml:space="preserve"> </w:t>
      </w:r>
      <w:r>
        <w:t xml:space="preserve">metropolitan region and its surrounding commercial corridors.</w:t>
      </w:r>
    </w:p>
    <w:p>
      <w:pPr>
        <w:pStyle w:val="BodyText"/>
      </w:pPr>
      <w:r>
        <w:t xml:space="preserve">This</w:t>
      </w:r>
      <w:r>
        <w:t xml:space="preserve"> </w:t>
      </w:r>
      <w:r>
        <w:t xml:space="preserve">Quotation Estimate</w:t>
      </w:r>
      <w:r>
        <w:t xml:space="preserve"> </w:t>
      </w:r>
      <w:r>
        <w:t xml:space="preserve">has been prepared in accordance with the New Zealand Consumer Guarantees Act 1993 and the Fair Trading Act 1986. All pricing is quoted in New Zealand Dollars (NZD) and includes applicable Goods and Services Tax (GST) at the current rate of 15%, unless otherwise stated. The</w:t>
      </w:r>
      <w:r>
        <w:t xml:space="preserve"> </w:t>
      </w:r>
      <w:r>
        <w:t xml:space="preserve">Business Consultant</w:t>
      </w:r>
      <w:r>
        <w:t xml:space="preserve"> </w:t>
      </w:r>
      <w:r>
        <w:t xml:space="preserve">engagement described herein is tailored specifically to the regulatory, economic, and market conditions unique to</w:t>
      </w:r>
      <w:r>
        <w:t xml:space="preserve"> </w:t>
      </w:r>
      <w:r>
        <w:t xml:space="preserve">New Zealand Auckland</w:t>
      </w:r>
      <w:r>
        <w:t xml:space="preserve">, including considerations for the Auckland Unitary Plan, local employment law, and the competitive landscape of the Tāmaki Makaurau region.</w:t>
      </w:r>
    </w:p>
    <w:bookmarkEnd w:id="21"/>
    <w:bookmarkStart w:id="22" w:name="X38c04614c6852dc42671939c78d168ce144be86"/>
    <w:p>
      <w:pPr>
        <w:pStyle w:val="Heading2"/>
      </w:pPr>
      <w:r>
        <w:t xml:space="preserve">2. Scope of Services — Business Consultant Engagement</w:t>
      </w:r>
    </w:p>
    <w:p>
      <w:pPr>
        <w:pStyle w:val="FirstParagraph"/>
      </w:pPr>
      <w:r>
        <w:t xml:space="preserve">Our</w:t>
      </w:r>
      <w:r>
        <w:t xml:space="preserve"> </w:t>
      </w:r>
      <w:r>
        <w:t xml:space="preserve">Business Consultant</w:t>
      </w:r>
      <w:r>
        <w:t xml:space="preserve"> </w:t>
      </w:r>
      <w:r>
        <w:t xml:space="preserve">will deliver the following services over an initial twelve-month engagement period. The consultant will operate primarily from our Auckland CBD office with regular on-site visits to your premises within the</w:t>
      </w:r>
      <w:r>
        <w:t xml:space="preserve"> </w:t>
      </w:r>
      <w:r>
        <w:t xml:space="preserve">New Zealand Auckland</w:t>
      </w:r>
      <w:r>
        <w:t xml:space="preserve"> </w:t>
      </w:r>
      <w:r>
        <w:t xml:space="preserve">area, ensuring proximity and responsiveness to your operational needs.</w:t>
      </w:r>
    </w:p>
    <w:p>
      <w:pPr>
        <w:numPr>
          <w:ilvl w:val="0"/>
          <w:numId w:val="1001"/>
        </w:numPr>
        <w:pStyle w:val="Compact"/>
      </w:pPr>
      <w:r>
        <w:rPr>
          <w:bCs/>
          <w:b/>
        </w:rPr>
        <w:t xml:space="preserve">Strategic Planning &amp; Market Analysis:</w:t>
      </w:r>
      <w:r>
        <w:t xml:space="preserve"> </w:t>
      </w:r>
      <w:r>
        <w:t xml:space="preserve">Comprehensive review of your current business model, competitive positioning, and growth opportunities within the Auckland and broader New Zealand market. This includes a detailed SWOT analysis and a three-year strategic roadmap.</w:t>
      </w:r>
    </w:p>
    <w:p>
      <w:pPr>
        <w:numPr>
          <w:ilvl w:val="0"/>
          <w:numId w:val="1001"/>
        </w:numPr>
        <w:pStyle w:val="Compact"/>
      </w:pPr>
      <w:r>
        <w:rPr>
          <w:bCs/>
          <w:b/>
        </w:rPr>
        <w:t xml:space="preserve">Operational Efficiency Review:</w:t>
      </w:r>
      <w:r>
        <w:t xml:space="preserve"> </w:t>
      </w:r>
      <w:r>
        <w:t xml:space="preserve">Assessment of internal processes, supply chain logistics, and workforce utilisation. The</w:t>
      </w:r>
    </w:p>
    <w:p>
      <w:pPr>
        <w:numPr>
          <w:ilvl w:val="0"/>
          <w:numId w:val="1000"/>
        </w:numPr>
        <w:pStyle w:val="Compact"/>
      </w:pPr>
      <w:r>
        <w:t xml:space="preserve">Business Consultant will identify bottlenecks and recommend actionable improvements aligned with New Zealand best-practice frameworks.</w:t>
      </w:r>
    </w:p>
    <w:p>
      <w:pPr>
        <w:numPr>
          <w:ilvl w:val="0"/>
          <w:numId w:val="1001"/>
        </w:numPr>
        <w:pStyle w:val="Compact"/>
      </w:pPr>
      <w:r>
        <w:rPr>
          <w:bCs/>
          <w:b/>
        </w:rPr>
        <w:t xml:space="preserve">Financial Modelling &amp; Forecasting:</w:t>
      </w:r>
      <w:r>
        <w:t xml:space="preserve"> </w:t>
      </w:r>
      <w:r>
        <w:t xml:space="preserve">Development of robust financial projections, cash-flow models, and capital allocation strategies. All modelling will reflect current Reserve Bank of New Zealand interest rate environments and Auckland-specific cost-of-living adjustments.</w:t>
      </w:r>
    </w:p>
    <w:p>
      <w:pPr>
        <w:numPr>
          <w:ilvl w:val="0"/>
          <w:numId w:val="1001"/>
        </w:numPr>
        <w:pStyle w:val="Compact"/>
      </w:pPr>
      <w:r>
        <w:rPr>
          <w:bCs/>
          <w:b/>
        </w:rPr>
        <w:t xml:space="preserve">Regulatory &amp; Compliance Advisory:</w:t>
      </w:r>
      <w:r>
        <w:t xml:space="preserve"> </w:t>
      </w:r>
      <w:r>
        <w:t xml:space="preserve">Guidance on New Zealand corporate governance obligations, ACC (Accident Compensation Corporation) requirements, IRD tax structuring, and local council compliance relevant to</w:t>
      </w:r>
      <w:r>
        <w:t xml:space="preserve"> </w:t>
      </w:r>
      <w:r>
        <w:t xml:space="preserve">New Zealand Auckland</w:t>
      </w:r>
      <w:r>
        <w:t xml:space="preserve"> </w:t>
      </w:r>
      <w:r>
        <w:t xml:space="preserve">businesses.</w:t>
      </w:r>
    </w:p>
    <w:p>
      <w:pPr>
        <w:numPr>
          <w:ilvl w:val="0"/>
          <w:numId w:val="1001"/>
        </w:numPr>
        <w:pStyle w:val="Compact"/>
      </w:pPr>
      <w:r>
        <w:rPr>
          <w:bCs/>
          <w:b/>
        </w:rPr>
        <w:t xml:space="preserve">Change Management &amp; Leadership Coaching:</w:t>
      </w:r>
      <w:r>
        <w:t xml:space="preserve"> </w:t>
      </w:r>
      <w:r>
        <w:t xml:space="preserve">Facilitation of organisational change programmes, executive coaching sessions, and team alignment workshops to ensure sustainable adoption of recommended strategies.</w:t>
      </w:r>
    </w:p>
    <w:p>
      <w:pPr>
        <w:numPr>
          <w:ilvl w:val="0"/>
          <w:numId w:val="1001"/>
        </w:numPr>
        <w:pStyle w:val="Compact"/>
      </w:pPr>
      <w:r>
        <w:rPr>
          <w:bCs/>
          <w:b/>
        </w:rPr>
        <w:t xml:space="preserve">Quarterly Progress Reporting:</w:t>
      </w:r>
      <w:r>
        <w:t xml:space="preserve"> </w:t>
      </w:r>
      <w:r>
        <w:t xml:space="preserve">Structured reporting to your board or senior leadership team, including KPI dashboards, risk registers, and forward-looking recommendations.</w:t>
      </w:r>
    </w:p>
    <w:bookmarkEnd w:id="22"/>
    <w:bookmarkStart w:id="23" w:name="fee-structure-pricing-summary"/>
    <w:p>
      <w:pPr>
        <w:pStyle w:val="Heading2"/>
      </w:pPr>
      <w:r>
        <w:t xml:space="preserve">3. Fee Structure &amp; Pricing Summary</w:t>
      </w:r>
    </w:p>
    <w:p>
      <w:pPr>
        <w:pStyle w:val="FirstParagraph"/>
      </w:pPr>
      <w:r>
        <w:t xml:space="preserve">The following</w:t>
      </w:r>
      <w:r>
        <w:t xml:space="preserve"> </w:t>
      </w:r>
      <w:r>
        <w:t xml:space="preserve">Quotation Estimate</w:t>
      </w:r>
      <w:r>
        <w:t xml:space="preserve"> </w:t>
      </w:r>
      <w:r>
        <w:t xml:space="preserve">sets out the professional fees for the</w:t>
      </w:r>
      <w:r>
        <w:t xml:space="preserve"> </w:t>
      </w:r>
      <w:r>
        <w:t xml:space="preserve">Business Consultant</w:t>
      </w:r>
      <w:r>
        <w:t xml:space="preserve"> </w:t>
      </w:r>
      <w:r>
        <w:t xml:space="preserve">engagement. All rates are exclusive of GST unless noted. Travel within the Auckland metropolitan area is included; travel to other regions of New Zealand will be billed at cost.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Component</w:t>
            </w:r>
          </w:p>
        </w:tc>
        <w:tc>
          <w:tcPr/>
          <w:p>
            <w:pPr>
              <w:pStyle w:val="Compact"/>
              <w:jc w:val="left"/>
            </w:pPr>
            <w:r>
              <w:t xml:space="preserve">Duration / Frequency</w:t>
            </w:r>
          </w:p>
        </w:tc>
        <w:tc>
          <w:tcPr/>
          <w:p>
            <w:pPr>
              <w:pStyle w:val="Compact"/>
              <w:jc w:val="left"/>
            </w:pPr>
            <w:r>
              <w:t xml:space="preserve">Rate (NZD)</w:t>
            </w:r>
          </w:p>
        </w:tc>
        <w:tc>
          <w:tcPr/>
          <w:p>
            <w:pPr>
              <w:pStyle w:val="Compact"/>
              <w:jc w:val="left"/>
            </w:pPr>
            <w:r>
              <w:t xml:space="preserve">Subtotal (NZD)</w:t>
            </w:r>
          </w:p>
        </w:tc>
      </w:tr>
      <w:tr>
        <w:tc>
          <w:tcPr/>
          <w:p>
            <w:pPr>
              <w:pStyle w:val="Compact"/>
              <w:jc w:val="left"/>
            </w:pPr>
            <w:r>
              <w:t xml:space="preserve">Strategic Planning &amp; Market Analysis</w:t>
            </w:r>
          </w:p>
        </w:tc>
        <w:tc>
          <w:tcPr/>
          <w:p>
            <w:pPr>
              <w:pStyle w:val="Compact"/>
              <w:jc w:val="left"/>
            </w:pPr>
            <w:r>
              <w:t xml:space="preserve">One-off (Weeks 1–6)</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Operational Efficiency Review</w:t>
            </w:r>
          </w:p>
        </w:tc>
        <w:tc>
          <w:tcPr/>
          <w:p>
            <w:pPr>
              <w:pStyle w:val="Compact"/>
              <w:jc w:val="left"/>
            </w:pPr>
            <w:r>
              <w:t xml:space="preserve">One-off (Weeks 7–12)</w:t>
            </w:r>
          </w:p>
        </w:tc>
        <w:tc>
          <w:tcPr/>
          <w:p>
            <w:pPr>
              <w:pStyle w:val="Compact"/>
              <w:jc w:val="left"/>
            </w:pPr>
            <w:r>
              <w:t xml:space="preserve">$14,200</w:t>
            </w:r>
          </w:p>
        </w:tc>
        <w:tc>
          <w:tcPr/>
          <w:p>
            <w:pPr>
              <w:pStyle w:val="Compact"/>
              <w:jc w:val="left"/>
            </w:pPr>
            <w:r>
              <w:t xml:space="preserve">$14,200</w:t>
            </w:r>
          </w:p>
        </w:tc>
      </w:tr>
      <w:tr>
        <w:tc>
          <w:tcPr/>
          <w:p>
            <w:pPr>
              <w:pStyle w:val="Compact"/>
              <w:jc w:val="left"/>
            </w:pPr>
            <w:r>
              <w:t xml:space="preserve">Financial Modelling &amp; Forecasting</w:t>
            </w:r>
          </w:p>
        </w:tc>
        <w:tc>
          <w:tcPr/>
          <w:p>
            <w:pPr>
              <w:pStyle w:val="Compact"/>
              <w:jc w:val="left"/>
            </w:pPr>
            <w:r>
              <w:t xml:space="preserve">One-off (Weeks 13–16)</w:t>
            </w:r>
          </w:p>
        </w:tc>
        <w:tc>
          <w:tcPr/>
          <w:p>
            <w:pPr>
              <w:pStyle w:val="Compact"/>
              <w:jc w:val="left"/>
            </w:pPr>
            <w:r>
              <w:t xml:space="preserve">$11,800</w:t>
            </w:r>
          </w:p>
        </w:tc>
        <w:tc>
          <w:tcPr/>
          <w:p>
            <w:pPr>
              <w:pStyle w:val="Compact"/>
              <w:jc w:val="left"/>
            </w:pPr>
            <w:r>
              <w:t xml:space="preserve">$11,800</w:t>
            </w:r>
          </w:p>
        </w:tc>
      </w:tr>
      <w:tr>
        <w:tc>
          <w:tcPr/>
          <w:p>
            <w:pPr>
              <w:pStyle w:val="Compact"/>
              <w:jc w:val="left"/>
            </w:pPr>
            <w:r>
              <w:t xml:space="preserve">Regulatory &amp; Compliance Advisory</w:t>
            </w:r>
          </w:p>
        </w:tc>
        <w:tc>
          <w:tcPr/>
          <w:p>
            <w:pPr>
              <w:pStyle w:val="Compact"/>
              <w:jc w:val="left"/>
            </w:pPr>
            <w:r>
              <w:t xml:space="preserve">Ongoing (Monthly retainer)</w:t>
            </w:r>
          </w:p>
        </w:tc>
        <w:tc>
          <w:tcPr/>
          <w:p>
            <w:pPr>
              <w:pStyle w:val="Compact"/>
              <w:jc w:val="left"/>
            </w:pPr>
            <w:r>
              <w:t xml:space="preserve">$3,400 / month</w:t>
            </w:r>
          </w:p>
        </w:tc>
        <w:tc>
          <w:tcPr/>
          <w:p>
            <w:pPr>
              <w:pStyle w:val="Compact"/>
              <w:jc w:val="left"/>
            </w:pPr>
            <w:r>
              <w:t xml:space="preserve">$40,800</w:t>
            </w:r>
          </w:p>
        </w:tc>
      </w:tr>
      <w:tr>
        <w:tc>
          <w:tcPr/>
          <w:p>
            <w:pPr>
              <w:pStyle w:val="Compact"/>
              <w:jc w:val="left"/>
            </w:pPr>
            <w:r>
              <w:t xml:space="preserve">Change Management &amp; Leadership Coaching</w:t>
            </w:r>
          </w:p>
        </w:tc>
        <w:tc>
          <w:tcPr/>
          <w:p>
            <w:pPr>
              <w:pStyle w:val="Compact"/>
              <w:jc w:val="left"/>
            </w:pPr>
            <w:r>
              <w:t xml:space="preserve">Ongoing (Bi-weekly sessions)</w:t>
            </w:r>
          </w:p>
        </w:tc>
        <w:tc>
          <w:tcPr/>
          <w:p>
            <w:pPr>
              <w:pStyle w:val="Compact"/>
              <w:jc w:val="left"/>
            </w:pPr>
            <w:r>
              <w:t xml:space="preserve">$2,900 / session</w:t>
            </w:r>
          </w:p>
        </w:tc>
        <w:tc>
          <w:tcPr/>
          <w:p>
            <w:pPr>
              <w:pStyle w:val="Compact"/>
              <w:jc w:val="left"/>
            </w:pPr>
            <w:r>
              <w:t xml:space="preserve">$34,800</w:t>
            </w:r>
          </w:p>
        </w:tc>
      </w:tr>
      <w:tr>
        <w:tc>
          <w:tcPr/>
          <w:p>
            <w:pPr>
              <w:pStyle w:val="Compact"/>
              <w:jc w:val="left"/>
            </w:pPr>
            <w:r>
              <w:t xml:space="preserve">Quarterly Progress Reporting</w:t>
            </w:r>
          </w:p>
        </w:tc>
        <w:tc>
          <w:tcPr/>
          <w:p>
            <w:pPr>
              <w:pStyle w:val="Compact"/>
              <w:jc w:val="left"/>
            </w:pPr>
            <w:r>
              <w:t xml:space="preserve">4 reports per year</w:t>
            </w:r>
          </w:p>
        </w:tc>
        <w:tc>
          <w:tcPr/>
          <w:p>
            <w:pPr>
              <w:pStyle w:val="Compact"/>
              <w:jc w:val="left"/>
            </w:pPr>
            <w:r>
              <w:t xml:space="preserve">$2,100 / report</w:t>
            </w:r>
          </w:p>
        </w:tc>
        <w:tc>
          <w:tcPr/>
          <w:p>
            <w:pPr>
              <w:pStyle w:val="Compact"/>
              <w:jc w:val="left"/>
            </w:pPr>
            <w:r>
              <w:t xml:space="preserve">$8,400</w:t>
            </w:r>
          </w:p>
        </w:tc>
      </w:tr>
      <w:tr>
        <w:tc>
          <w:tcPr>
            <w:gridSpan w:val="3"/>
          </w:tcPr>
          <w:p>
            <w:pPr>
              <w:pStyle w:val="Compact"/>
              <w:jc w:val="left"/>
            </w:pPr>
            <w:r>
              <w:rPr>
                <w:bCs/>
                <w:b/>
              </w:rPr>
              <w:t xml:space="preserve">Subtotal (Excl. GST)</w:t>
            </w:r>
          </w:p>
        </w:tc>
        <w:tc>
          <w:tcPr/>
          <w:p>
            <w:pPr>
              <w:pStyle w:val="Compact"/>
              <w:jc w:val="left"/>
            </w:pPr>
            <w:r>
              <w:rPr>
                <w:bCs/>
                <w:b/>
              </w:rPr>
              <w:t xml:space="preserve">$128,500</w:t>
            </w:r>
          </w:p>
        </w:tc>
      </w:tr>
      <w:tr>
        <w:tc>
          <w:tcPr>
            <w:gridSpan w:val="3"/>
          </w:tcPr>
          <w:p>
            <w:pPr>
              <w:pStyle w:val="Compact"/>
              <w:jc w:val="left"/>
            </w:pPr>
            <w:r>
              <w:rPr>
                <w:bCs/>
                <w:b/>
              </w:rPr>
              <w:t xml:space="preserve">GST (15%)</w:t>
            </w:r>
          </w:p>
        </w:tc>
        <w:tc>
          <w:tcPr/>
          <w:p>
            <w:pPr>
              <w:pStyle w:val="Compact"/>
              <w:jc w:val="left"/>
            </w:pPr>
            <w:r>
              <w:rPr>
                <w:bCs/>
                <w:b/>
              </w:rPr>
              <w:t xml:space="preserve">$19,275</w:t>
            </w:r>
          </w:p>
        </w:tc>
      </w:tr>
      <w:tr>
        <w:tc>
          <w:tcPr>
            <w:gridSpan w:val="3"/>
          </w:tcPr>
          <w:p>
            <w:pPr>
              <w:pStyle w:val="Compact"/>
              <w:jc w:val="left"/>
            </w:pPr>
            <w:r>
              <w:rPr>
                <w:bCs/>
                <w:b/>
              </w:rPr>
              <w:t xml:space="preserve">TOTAL (Incl. GST)</w:t>
            </w:r>
          </w:p>
        </w:tc>
        <w:tc>
          <w:tcPr/>
          <w:p>
            <w:pPr>
              <w:pStyle w:val="Compact"/>
              <w:jc w:val="left"/>
            </w:pPr>
            <w:r>
              <w:rPr>
                <w:bCs/>
                <w:b/>
              </w:rPr>
              <w:t xml:space="preserve">$147,775</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is due as follows: a 25% deposit (NZD $36,943.75) is payable upon acceptance of this quotation to secure the</w:t>
      </w:r>
      <w:r>
        <w:t xml:space="preserve"> </w:t>
      </w:r>
      <w:r>
        <w:t xml:space="preserve">Business Consultant</w:t>
      </w:r>
      <w:r>
        <w:t xml:space="preserve">'s calendar. The remaining balance is payable in four equal quarterly instalments of NZD $27,707.81, invoiced on the 1st of January, April, July, and October. All invoices are payable within fourteen (14) calendar days of the invoice date via bank transfer to our Auckland-based corporate account. Late payments will attract interest at the rate prescribed under the New Zealand Consumer Credit Act 1994.</w:t>
      </w:r>
    </w:p>
    <w:bookmarkEnd w:id="24"/>
    <w:bookmarkStart w:id="25" w:name="terms-and-conditions"/>
    <w:p>
      <w:pPr>
        <w:pStyle w:val="Heading2"/>
      </w:pPr>
      <w:r>
        <w:t xml:space="preserve">5. Terms and Conditions</w:t>
      </w:r>
    </w:p>
    <w:p>
      <w:pPr>
        <w:pStyle w:val="FirstParagraph"/>
      </w:pPr>
      <w:r>
        <w:rPr>
          <w:bCs/>
          <w:b/>
        </w:rPr>
        <w:t xml:space="preserve">Validity:</w:t>
      </w:r>
      <w:r>
        <w:t xml:space="preserve"> </w:t>
      </w:r>
      <w:r>
        <w:t xml:space="preserve">This</w:t>
      </w:r>
      <w:r>
        <w:t xml:space="preserve"> </w:t>
      </w:r>
      <w:r>
        <w:t xml:space="preserve">Quotation Estimate</w:t>
      </w:r>
      <w:r>
        <w:t xml:space="preserve"> </w:t>
      </w:r>
      <w:r>
        <w:t xml:space="preserve">is valid for ninety (90) days from the date of issue. After this period, fees may be subject to revision based on market conditions in</w:t>
      </w:r>
      <w:r>
        <w:t xml:space="preserve"> </w:t>
      </w:r>
      <w:r>
        <w:t xml:space="preserve">New Zealand Auckland</w:t>
      </w:r>
      <w:r>
        <w:t xml:space="preserve">.</w:t>
      </w:r>
    </w:p>
    <w:p>
      <w:pPr>
        <w:pStyle w:val="BodyText"/>
      </w:pPr>
      <w:r>
        <w:rPr>
          <w:bCs/>
          <w:b/>
        </w:rPr>
        <w:t xml:space="preserve">Confidentiality:</w:t>
      </w:r>
      <w:r>
        <w:t xml:space="preserve"> </w:t>
      </w:r>
      <w:r>
        <w:t xml:space="preserve">All information shared during the</w:t>
      </w:r>
      <w:r>
        <w:t xml:space="preserve"> </w:t>
      </w:r>
      <w:r>
        <w:t xml:space="preserve">Business Consultant</w:t>
      </w:r>
      <w:r>
        <w:t xml:space="preserve"> </w:t>
      </w:r>
      <w:r>
        <w:t xml:space="preserve">engagement is subject to a mutual Non-Disclosure Agreement (NDA) in line with New Zealand privacy legislation (Privacy Act 2020).</w:t>
      </w:r>
    </w:p>
    <w:p>
      <w:pPr>
        <w:pStyle w:val="BodyText"/>
      </w:pPr>
      <w:r>
        <w:rPr>
          <w:bCs/>
          <w:b/>
        </w:rPr>
        <w:t xml:space="preserve">Intellectual Property:</w:t>
      </w:r>
      <w:r>
        <w:t xml:space="preserve"> </w:t>
      </w:r>
      <w:r>
        <w:t xml:space="preserve">All reports, models, and strategic documents produced by the</w:t>
      </w:r>
      <w:r>
        <w:t xml:space="preserve"> </w:t>
      </w:r>
      <w:r>
        <w:t xml:space="preserve">Business Consultant</w:t>
      </w:r>
      <w:r>
        <w:t xml:space="preserve"> </w:t>
      </w:r>
      <w:r>
        <w:t xml:space="preserve">become the property of the client upon full payment of the fees outlined in this</w:t>
      </w:r>
      <w:r>
        <w:t xml:space="preserve"> </w:t>
      </w:r>
      <w:r>
        <w:t xml:space="preserve">Quotation Estimate</w:t>
      </w:r>
      <w:r>
        <w:t xml:space="preserve">.</w:t>
      </w:r>
    </w:p>
    <w:p>
      <w:pPr>
        <w:pStyle w:val="BodyText"/>
      </w:pPr>
      <w:r>
        <w:rPr>
          <w:bCs/>
          <w:b/>
        </w:rPr>
        <w:t xml:space="preserve">Termination:</w:t>
      </w:r>
      <w:r>
        <w:t xml:space="preserve"> </w:t>
      </w:r>
      <w:r>
        <w:t xml:space="preserve">Either party may terminate the engagement with thirty (30) days' written notice. In the event of early termination, fees for work completed to date remain payable.</w:t>
      </w:r>
    </w:p>
    <w:p>
      <w:pPr>
        <w:pStyle w:val="BodyText"/>
      </w:pPr>
      <w:r>
        <w:rPr>
          <w:bCs/>
          <w:b/>
        </w:rPr>
        <w:t xml:space="preserve">Governing Law:</w:t>
      </w:r>
      <w:r>
        <w:t xml:space="preserve"> </w:t>
      </w:r>
      <w:r>
        <w:t xml:space="preserve">This agreement is governed by the laws of New Zealand. Any disputes shall be resolved through the Disputes Tribunal or the District Court of Auckland, New Zealand.</w:t>
      </w:r>
    </w:p>
    <w:p>
      <w:pPr>
        <w:pStyle w:val="BodyText"/>
      </w:pPr>
      <w:r>
        <w:rPr>
          <w:bCs/>
          <w:b/>
        </w:rPr>
        <w:t xml:space="preserve">Insurance:</w:t>
      </w:r>
      <w:r>
        <w:t xml:space="preserve"> </w:t>
      </w:r>
      <w:r>
        <w:t xml:space="preserve">Meridian Strategic Advisory Ltd. maintains Professional Indemnity Insurance of no less than NZD $5,000,000, compliant with New Zealand regulatory requirements for business advisory practitioners.</w:t>
      </w:r>
    </w:p>
    <w:bookmarkEnd w:id="25"/>
    <w:bookmarkStart w:id="26" w:name="acceptance"/>
    <w:p>
      <w:pPr>
        <w:pStyle w:val="Heading2"/>
      </w:pPr>
      <w:r>
        <w:t xml:space="preserve">6.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Business Consultant</w:t>
      </w:r>
      <w:r>
        <w:t xml:space="preserve"> </w:t>
      </w:r>
      <w:r>
        <w:t xml:space="preserve">services in</w:t>
      </w:r>
      <w:r>
        <w:t xml:space="preserve"> </w:t>
      </w:r>
      <w:r>
        <w:t xml:space="preserve">New Zealand Auckland</w:t>
      </w:r>
      <w:r>
        <w:t xml:space="preserve">. The engagement shall commence on the date of the fully executed agreement or upon receipt of the initial deposit, whichever is later.</w:t>
      </w:r>
    </w:p>
    <w:bookmarkEnd w:id="26"/>
    <w:p>
      <w:pPr>
        <w:pStyle w:val="BodyText"/>
      </w:pPr>
      <w:r>
        <w:rPr>
          <w:bCs/>
          <w:b/>
        </w:rPr>
        <w:t xml:space="preserve">For and on behalf of Meridian Strategic Advisory Ltd.:</w:t>
      </w:r>
    </w:p>
    <w:p>
      <w:pPr>
        <w:pStyle w:val="BodyText"/>
      </w:pPr>
      <w:r>
        <w:t xml:space="preserve">Name: Jonathan R. Whitfield</w:t>
      </w:r>
    </w:p>
    <w:p>
      <w:pPr>
        <w:pStyle w:val="BodyText"/>
      </w:pPr>
      <w:r>
        <w:t xml:space="preserve">Title: Principal Business Consultant</w:t>
      </w:r>
    </w:p>
    <w:p>
      <w:pPr>
        <w:pStyle w:val="BodyText"/>
      </w:pPr>
      <w:r>
        <w:t xml:space="preserve">Date: ____________________</w:t>
      </w:r>
    </w:p>
    <w:p>
      <w:pPr>
        <w:pStyle w:val="BodyText"/>
      </w:pPr>
      <w:r>
        <w:rPr>
          <w:bCs/>
          <w:b/>
        </w:rPr>
        <w:t xml:space="preserve">For and on behalf of the Client:</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Meridian Strategic Advisory Ltd. | NZBN: 942904781234567 | GST: 123-456-789</w:t>
      </w:r>
    </w:p>
    <w:p>
      <w:pPr>
        <w:pStyle w:val="BodyText"/>
      </w:pPr>
      <w:r>
        <w:t xml:space="preserve">142 Federal Street, Auckland CBD, Auckland 1010, New Zealand</w:t>
      </w:r>
    </w:p>
    <w:p>
      <w:pPr>
        <w:pStyle w:val="BodyText"/>
      </w:pPr>
      <w:r>
        <w:t xml:space="preserve">This Quotation Estimate is a confidential document intended solely for the named recipient. Unauthorised distribution is prohibited under New Zealand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New Zealand Auckland</dc:title>
  <dc:creator/>
  <dc:language>en</dc:language>
  <cp:keywords/>
  <dcterms:created xsi:type="dcterms:W3CDTF">2026-10-10T08:19:21Z</dcterms:created>
  <dcterms:modified xsi:type="dcterms:W3CDTF">2026-10-10T08:19:21Z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