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rPr>
          <w:bCs/>
          <w:b/>
        </w:rPr>
        <w:t xml:space="preserve">Apex Strategic Advisory Ltd</w:t>
      </w:r>
    </w:p>
    <w:p>
      <w:pPr>
        <w:pStyle w:val="BodyText"/>
      </w:pPr>
      <w:r>
        <w:t xml:space="preserve">Level 4, 128 Lambton Quay, Wellington, New Zealand</w:t>
      </w:r>
    </w:p>
    <w:p>
      <w:pPr>
        <w:pStyle w:val="BodyText"/>
      </w:pPr>
      <w:r>
        <w:t xml:space="preserve">Phone: +64 4 382 5500 | Email: enquiries@apexstrategic.co.nz</w:t>
      </w:r>
    </w:p>
    <w:p>
      <w:pPr>
        <w:pStyle w:val="BodyText"/>
      </w:pPr>
      <w:r>
        <w:t xml:space="preserve">NZBN: 9429041234567 | GST No: 123-456-789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QTE-2025-WLG-0047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Harbourview Logistics Group Ltd, 22 Featherston Street, Wellington, New Zealand</w:t>
            </w:r>
          </w:p>
        </w:tc>
      </w:tr>
      <w:tr>
        <w:tc>
          <w:tcPr/>
          <w:p>
            <w:pPr>
              <w:pStyle w:val="Compact"/>
              <w:jc w:val="left"/>
            </w:pPr>
            <w:r>
              <w:t xml:space="preserve">Prepared By</w:t>
            </w:r>
          </w:p>
        </w:tc>
        <w:tc>
          <w:tcPr/>
          <w:p>
            <w:pPr>
              <w:pStyle w:val="Compact"/>
              <w:jc w:val="left"/>
            </w:pPr>
            <w:r>
              <w:t xml:space="preserve">Dr. Margaret Chen, Senior Business Consultant, Apex Strategic Advisory Ltd</w:t>
            </w:r>
          </w:p>
        </w:tc>
      </w:tr>
      <w:tr>
        <w:tc>
          <w:tcPr/>
          <w:p>
            <w:pPr>
              <w:pStyle w:val="Compact"/>
              <w:jc w:val="left"/>
            </w:pPr>
            <w:r>
              <w:t xml:space="preserve">Project Reference</w:t>
            </w:r>
          </w:p>
        </w:tc>
        <w:tc>
          <w:tcPr/>
          <w:p>
            <w:pPr>
              <w:pStyle w:val="Compact"/>
              <w:jc w:val="left"/>
            </w:pPr>
            <w:r>
              <w:t xml:space="preserve">Operational Restructuring &amp; Market Expansion Advisory – FY2025/26</w:t>
            </w:r>
          </w:p>
        </w:tc>
      </w:tr>
    </w:tbl>
    <w:bookmarkStart w:id="21" w:name="X091f0dfb82768bdcc14fb07ea5eabec314d991f"/>
    <w:p>
      <w:pPr>
        <w:pStyle w:val="Heading2"/>
      </w:pPr>
      <w:r>
        <w:t xml:space="preserve">1. Introduction and Purpose of This Quotation Estimate</w:t>
      </w:r>
    </w:p>
    <w:p>
      <w:pPr>
        <w:pStyle w:val="FirstParagraph"/>
      </w:pPr>
      <w:r>
        <w:t xml:space="preserve">Thank you for engaging Apex Strategic Advisory Ltd to prepare this</w:t>
      </w:r>
      <w:r>
        <w:t xml:space="preserve"> </w:t>
      </w:r>
      <w:r>
        <w:t xml:space="preserve">Quotation Estimate</w:t>
      </w:r>
      <w:r>
        <w:t xml:space="preserve"> </w:t>
      </w:r>
      <w:r>
        <w:t xml:space="preserve">for professional advisory services. This document outlines the scope, deliverables, timeline, and associated costs for the engagement of our</w:t>
      </w:r>
      <w:r>
        <w:t xml:space="preserve"> </w:t>
      </w:r>
      <w:r>
        <w:t xml:space="preserve">Business Consultant</w:t>
      </w:r>
      <w:r>
        <w:t xml:space="preserve"> </w:t>
      </w:r>
      <w:r>
        <w:t xml:space="preserve">team to support Harbourview Logistics Group Ltd in its operational restructuring and market expansion initiatives. All services described herein will be delivered in accordance with the professional standards expected of a</w:t>
      </w:r>
      <w:r>
        <w:t xml:space="preserve"> </w:t>
      </w:r>
      <w:r>
        <w:t xml:space="preserve">Business Consultant</w:t>
      </w:r>
      <w:r>
        <w:t xml:space="preserve"> </w:t>
      </w:r>
      <w:r>
        <w:t xml:space="preserve">operating within the</w:t>
      </w:r>
      <w:r>
        <w:t xml:space="preserve"> </w:t>
      </w:r>
      <w:r>
        <w:t xml:space="preserve">New Zealand Wellington</w:t>
      </w:r>
      <w:r>
        <w:t xml:space="preserve"> </w:t>
      </w:r>
      <w:r>
        <w:t xml:space="preserve">commercial landscape, and in full compliance with the New Zealand Code of Ethics for Professional Consultants.</w:t>
      </w:r>
    </w:p>
    <w:p>
      <w:pPr>
        <w:pStyle w:val="BodyText"/>
      </w:pPr>
      <w:r>
        <w:t xml:space="preserve">This</w:t>
      </w:r>
      <w:r>
        <w:t xml:space="preserve"> </w:t>
      </w:r>
      <w:r>
        <w:t xml:space="preserve">Quotation Estimate</w:t>
      </w:r>
      <w:r>
        <w:t xml:space="preserve"> </w:t>
      </w:r>
      <w:r>
        <w:t xml:space="preserve">has been prepared specifically for use in</w:t>
      </w:r>
      <w:r>
        <w:t xml:space="preserve"> </w:t>
      </w:r>
      <w:r>
        <w:t xml:space="preserve">New Zealand Wellington</w:t>
      </w:r>
      <w:r>
        <w:t xml:space="preserve"> </w:t>
      </w:r>
      <w:r>
        <w:t xml:space="preserve">and reflects current market rates, local regulatory requirements, and the specific economic conditions of the Wellington region as of June 2025. All monetary values are expressed in New Zealand Dollars (NZD) and are inclusive of Goods and Services Tax (GST) at the prevailing rate of 15%.</w:t>
      </w:r>
    </w:p>
    <w:bookmarkEnd w:id="21"/>
    <w:bookmarkStart w:id="22" w:name="X38c04614c6852dc42671939c78d168ce144be86"/>
    <w:p>
      <w:pPr>
        <w:pStyle w:val="Heading2"/>
      </w:pPr>
      <w:r>
        <w:t xml:space="preserve">2. Scope of Services – Business Consultant Engagement</w:t>
      </w:r>
    </w:p>
    <w:p>
      <w:pPr>
        <w:pStyle w:val="FirstParagraph"/>
      </w:pPr>
      <w:r>
        <w:t xml:space="preserve">Our</w:t>
      </w:r>
      <w:r>
        <w:t xml:space="preserve"> </w:t>
      </w:r>
      <w:r>
        <w:t xml:space="preserve">Business Consultant</w:t>
      </w:r>
      <w:r>
        <w:t xml:space="preserve">, Dr. Margaret Chen, together with a dedicated team of two associate consultants, will provide the following services to Harbourview Logistics Group Ltd:</w:t>
      </w:r>
    </w:p>
    <w:p>
      <w:pPr>
        <w:numPr>
          <w:ilvl w:val="0"/>
          <w:numId w:val="1001"/>
        </w:numPr>
        <w:pStyle w:val="Compact"/>
      </w:pPr>
      <w:r>
        <w:rPr>
          <w:bCs/>
          <w:b/>
        </w:rPr>
        <w:t xml:space="preserve">Operational Audit and Diagnostic Review:</w:t>
      </w:r>
      <w:r>
        <w:t xml:space="preserve"> </w:t>
      </w:r>
      <w:r>
        <w:t xml:space="preserve">A comprehensive assessment of current logistics workflows, supply chain bottlenecks, and resource allocation across all Wellington-based facilities. This phase includes on-site visits to the client's distribution centre in Lower Hutt and the central Wellington warehouse.</w:t>
      </w:r>
    </w:p>
    <w:p>
      <w:pPr>
        <w:numPr>
          <w:ilvl w:val="0"/>
          <w:numId w:val="1001"/>
        </w:numPr>
        <w:pStyle w:val="Compact"/>
      </w:pPr>
      <w:r>
        <w:rPr>
          <w:bCs/>
          <w:b/>
        </w:rPr>
        <w:t xml:space="preserve">Strategic Market Expansion Planning:</w:t>
      </w:r>
      <w:r>
        <w:t xml:space="preserve"> </w:t>
      </w:r>
      <w:r>
        <w:t xml:space="preserve">Development of a detailed market entry strategy for the Tasman and Marlborough regions, including competitive analysis, regulatory compliance mapping under New Zealand trade law, and projected revenue modelling.</w:t>
      </w:r>
    </w:p>
    <w:p>
      <w:pPr>
        <w:numPr>
          <w:ilvl w:val="0"/>
          <w:numId w:val="1001"/>
        </w:numPr>
        <w:pStyle w:val="Compact"/>
      </w:pPr>
      <w:r>
        <w:rPr>
          <w:bCs/>
          <w:b/>
        </w:rPr>
        <w:t xml:space="preserve">Organisational Restructuring Advisory:</w:t>
      </w:r>
      <w:r>
        <w:t xml:space="preserve"> </w:t>
      </w:r>
      <w:r>
        <w:t xml:space="preserve">Recommendations for role realignment, performance management frameworks, and leadership development pathways tailored to the client's workforce of approximately 120 employees in the</w:t>
      </w:r>
      <w:r>
        <w:t xml:space="preserve"> </w:t>
      </w:r>
      <w:r>
        <w:t xml:space="preserve">New Zealand Wellington</w:t>
      </w:r>
      <w:r>
        <w:t xml:space="preserve"> </w:t>
      </w:r>
      <w:r>
        <w:t xml:space="preserve">area.</w:t>
      </w:r>
    </w:p>
    <w:p>
      <w:pPr>
        <w:numPr>
          <w:ilvl w:val="0"/>
          <w:numId w:val="1001"/>
        </w:numPr>
        <w:pStyle w:val="Compact"/>
      </w:pPr>
      <w:r>
        <w:rPr>
          <w:bCs/>
          <w:b/>
        </w:rPr>
        <w:t xml:space="preserve">Financial Modelling and Forecasting:</w:t>
      </w:r>
      <w:r>
        <w:t xml:space="preserve"> </w:t>
      </w:r>
      <w:r>
        <w:t xml:space="preserve">Construction of a five-year financial projection incorporating capital expenditure, working capital requirements, and sensitivity analyses for key operational variables.</w:t>
      </w:r>
    </w:p>
    <w:p>
      <w:pPr>
        <w:numPr>
          <w:ilvl w:val="0"/>
          <w:numId w:val="1001"/>
        </w:numPr>
        <w:pStyle w:val="Compact"/>
      </w:pPr>
      <w:r>
        <w:rPr>
          <w:bCs/>
          <w:b/>
        </w:rPr>
        <w:t xml:space="preserve">Stakeholder Communication and Board Reporting:</w:t>
      </w:r>
      <w:r>
        <w:t xml:space="preserve"> </w:t>
      </w:r>
      <w:r>
        <w:t xml:space="preserve">Preparation of executive summaries, board presentation materials, and progress reports delivered on a fortnightly basis throughout the engagement period.</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 incl. GST)</w:t>
            </w:r>
          </w:p>
        </w:tc>
      </w:tr>
      <w:tr>
        <w:tc>
          <w:tcPr/>
          <w:p>
            <w:pPr>
              <w:pStyle w:val="Compact"/>
              <w:jc w:val="left"/>
            </w:pPr>
            <w:r>
              <w:t xml:space="preserve">01</w:t>
            </w:r>
          </w:p>
        </w:tc>
        <w:tc>
          <w:tcPr/>
          <w:p>
            <w:pPr>
              <w:pStyle w:val="Compact"/>
              <w:jc w:val="left"/>
            </w:pPr>
            <w:r>
              <w:t xml:space="preserve">Operational Audit and Diagnostic Review – Business Consultant on-site and desk research</w:t>
            </w:r>
          </w:p>
        </w:tc>
        <w:tc>
          <w:tcPr/>
          <w:p>
            <w:pPr>
              <w:pStyle w:val="Compact"/>
              <w:jc w:val="left"/>
            </w:pPr>
            <w:r>
              <w:t xml:space="preserve">Weeks 1–3</w:t>
            </w:r>
          </w:p>
        </w:tc>
        <w:tc>
          <w:tcPr/>
          <w:p>
            <w:pPr>
              <w:pStyle w:val="Compact"/>
              <w:jc w:val="left"/>
            </w:pPr>
            <w:r>
              <w:t xml:space="preserve">$285/hr</w:t>
            </w:r>
          </w:p>
        </w:tc>
        <w:tc>
          <w:tcPr/>
          <w:p>
            <w:pPr>
              <w:pStyle w:val="Compact"/>
              <w:jc w:val="left"/>
            </w:pPr>
            <w:r>
              <w:t xml:space="preserve">96</w:t>
            </w:r>
          </w:p>
        </w:tc>
        <w:tc>
          <w:tcPr/>
          <w:p>
            <w:pPr>
              <w:pStyle w:val="Compact"/>
              <w:jc w:val="left"/>
            </w:pPr>
            <w:r>
              <w:t xml:space="preserve">$41,232.00</w:t>
            </w:r>
          </w:p>
        </w:tc>
      </w:tr>
      <w:tr>
        <w:tc>
          <w:tcPr/>
          <w:p>
            <w:pPr>
              <w:pStyle w:val="Compact"/>
              <w:jc w:val="left"/>
            </w:pPr>
            <w:r>
              <w:t xml:space="preserve">02</w:t>
            </w:r>
          </w:p>
        </w:tc>
        <w:tc>
          <w:tcPr/>
          <w:p>
            <w:pPr>
              <w:pStyle w:val="Compact"/>
              <w:jc w:val="left"/>
            </w:pPr>
            <w:r>
              <w:t xml:space="preserve">Strategic Market Expansion Planning – Tasman and Marlborough regions</w:t>
            </w:r>
          </w:p>
        </w:tc>
        <w:tc>
          <w:tcPr/>
          <w:p>
            <w:pPr>
              <w:pStyle w:val="Compact"/>
              <w:jc w:val="left"/>
            </w:pPr>
            <w:r>
              <w:t xml:space="preserve">Weeks 4–7</w:t>
            </w:r>
          </w:p>
        </w:tc>
        <w:tc>
          <w:tcPr/>
          <w:p>
            <w:pPr>
              <w:pStyle w:val="Compact"/>
              <w:jc w:val="left"/>
            </w:pPr>
            <w:r>
              <w:t xml:space="preserve">$285/hr</w:t>
            </w:r>
          </w:p>
        </w:tc>
        <w:tc>
          <w:tcPr/>
          <w:p>
            <w:pPr>
              <w:pStyle w:val="Compact"/>
              <w:jc w:val="left"/>
            </w:pPr>
            <w:r>
              <w:t xml:space="preserve">120</w:t>
            </w:r>
          </w:p>
        </w:tc>
        <w:tc>
          <w:tcPr/>
          <w:p>
            <w:pPr>
              <w:pStyle w:val="Compact"/>
              <w:jc w:val="left"/>
            </w:pPr>
            <w:r>
              <w:t xml:space="preserve">$51,540.00</w:t>
            </w:r>
          </w:p>
        </w:tc>
      </w:tr>
      <w:tr>
        <w:tc>
          <w:tcPr/>
          <w:p>
            <w:pPr>
              <w:pStyle w:val="Compact"/>
              <w:jc w:val="left"/>
            </w:pPr>
            <w:r>
              <w:t xml:space="preserve">03</w:t>
            </w:r>
          </w:p>
        </w:tc>
        <w:tc>
          <w:tcPr/>
          <w:p>
            <w:pPr>
              <w:pStyle w:val="Compact"/>
              <w:jc w:val="left"/>
            </w:pPr>
            <w:r>
              <w:t xml:space="preserve">Organisational Restructuring Advisory and workforce planning</w:t>
            </w:r>
          </w:p>
        </w:tc>
        <w:tc>
          <w:tcPr/>
          <w:p>
            <w:pPr>
              <w:pStyle w:val="Compact"/>
              <w:jc w:val="left"/>
            </w:pPr>
            <w:r>
              <w:t xml:space="preserve">Weeks 8–10</w:t>
            </w:r>
          </w:p>
        </w:tc>
        <w:tc>
          <w:tcPr/>
          <w:p>
            <w:pPr>
              <w:pStyle w:val="Compact"/>
              <w:jc w:val="left"/>
            </w:pPr>
            <w:r>
              <w:t xml:space="preserve">$285/hr</w:t>
            </w:r>
          </w:p>
        </w:tc>
        <w:tc>
          <w:tcPr/>
          <w:p>
            <w:pPr>
              <w:pStyle w:val="Compact"/>
              <w:jc w:val="left"/>
            </w:pPr>
            <w:r>
              <w:t xml:space="preserve">72</w:t>
            </w:r>
          </w:p>
        </w:tc>
        <w:tc>
          <w:tcPr/>
          <w:p>
            <w:pPr>
              <w:pStyle w:val="Compact"/>
              <w:jc w:val="left"/>
            </w:pPr>
            <w:r>
              <w:t xml:space="preserve">$30,924.00</w:t>
            </w:r>
          </w:p>
        </w:tc>
      </w:tr>
      <w:tr>
        <w:tc>
          <w:tcPr/>
          <w:p>
            <w:pPr>
              <w:pStyle w:val="Compact"/>
              <w:jc w:val="left"/>
            </w:pPr>
            <w:r>
              <w:t xml:space="preserve">04</w:t>
            </w:r>
          </w:p>
        </w:tc>
        <w:tc>
          <w:tcPr/>
          <w:p>
            <w:pPr>
              <w:pStyle w:val="Compact"/>
              <w:jc w:val="left"/>
            </w:pPr>
            <w:r>
              <w:t xml:space="preserve">Financial Modelling, Forecasting, and sensitivity analysis</w:t>
            </w:r>
          </w:p>
        </w:tc>
        <w:tc>
          <w:tcPr/>
          <w:p>
            <w:pPr>
              <w:pStyle w:val="Compact"/>
              <w:jc w:val="left"/>
            </w:pPr>
            <w:r>
              <w:t xml:space="preserve">Weeks 11–13</w:t>
            </w:r>
          </w:p>
        </w:tc>
        <w:tc>
          <w:tcPr/>
          <w:p>
            <w:pPr>
              <w:pStyle w:val="Compact"/>
              <w:jc w:val="left"/>
            </w:pPr>
            <w:r>
              <w:t xml:space="preserve">$310/hr</w:t>
            </w:r>
          </w:p>
        </w:tc>
        <w:tc>
          <w:tcPr/>
          <w:p>
            <w:pPr>
              <w:pStyle w:val="Compact"/>
              <w:jc w:val="left"/>
            </w:pPr>
            <w:r>
              <w:t xml:space="preserve">64</w:t>
            </w:r>
          </w:p>
        </w:tc>
        <w:tc>
          <w:tcPr/>
          <w:p>
            <w:pPr>
              <w:pStyle w:val="Compact"/>
              <w:jc w:val="left"/>
            </w:pPr>
            <w:r>
              <w:t xml:space="preserve">$23,040.00</w:t>
            </w:r>
          </w:p>
        </w:tc>
      </w:tr>
      <w:tr>
        <w:tc>
          <w:tcPr/>
          <w:p>
            <w:pPr>
              <w:pStyle w:val="Compact"/>
              <w:jc w:val="left"/>
            </w:pPr>
            <w:r>
              <w:t xml:space="preserve">05</w:t>
            </w:r>
          </w:p>
        </w:tc>
        <w:tc>
          <w:tcPr/>
          <w:p>
            <w:pPr>
              <w:pStyle w:val="Compact"/>
              <w:jc w:val="left"/>
            </w:pPr>
            <w:r>
              <w:t xml:space="preserve">Stakeholder Communication, Board Reporting, and final deliverable compilation</w:t>
            </w:r>
          </w:p>
        </w:tc>
        <w:tc>
          <w:tcPr/>
          <w:p>
            <w:pPr>
              <w:pStyle w:val="Compact"/>
              <w:jc w:val="left"/>
            </w:pPr>
            <w:r>
              <w:t xml:space="preserve">Weeks 14–16</w:t>
            </w:r>
          </w:p>
        </w:tc>
        <w:tc>
          <w:tcPr/>
          <w:p>
            <w:pPr>
              <w:pStyle w:val="Compact"/>
              <w:jc w:val="left"/>
            </w:pPr>
            <w:r>
              <w:t xml:space="preserve">$285/hr</w:t>
            </w:r>
          </w:p>
        </w:tc>
        <w:tc>
          <w:tcPr/>
          <w:p>
            <w:pPr>
              <w:pStyle w:val="Compact"/>
              <w:jc w:val="left"/>
            </w:pPr>
            <w:r>
              <w:t xml:space="preserve">48</w:t>
            </w:r>
          </w:p>
        </w:tc>
        <w:tc>
          <w:tcPr/>
          <w:p>
            <w:pPr>
              <w:pStyle w:val="Compact"/>
              <w:jc w:val="left"/>
            </w:pPr>
            <w:r>
              <w:t xml:space="preserve">$19,872.00</w:t>
            </w:r>
          </w:p>
        </w:tc>
      </w:tr>
      <w:tr>
        <w:tc>
          <w:tcPr/>
          <w:p>
            <w:pPr>
              <w:pStyle w:val="Compact"/>
              <w:jc w:val="left"/>
            </w:pPr>
            <w:r>
              <w:t xml:space="preserve">06</w:t>
            </w:r>
          </w:p>
        </w:tc>
        <w:tc>
          <w:tcPr/>
          <w:p>
            <w:pPr>
              <w:pStyle w:val="Compact"/>
              <w:jc w:val="left"/>
            </w:pPr>
            <w:r>
              <w:t xml:space="preserve">Travel and accommodation within the New Zealand Wellington metropolitan area</w:t>
            </w:r>
          </w:p>
        </w:tc>
        <w:tc>
          <w:tcPr/>
          <w:p>
            <w:pPr>
              <w:pStyle w:val="Compact"/>
              <w:jc w:val="left"/>
            </w:pPr>
            <w:r>
              <w:t xml:space="preserve">Full engagement</w:t>
            </w:r>
          </w:p>
        </w:tc>
        <w:tc>
          <w:tcPr/>
          <w:p>
            <w:pPr>
              <w:pStyle w:val="Compact"/>
              <w:jc w:val="left"/>
            </w:pPr>
            <w:r>
              <w:t xml:space="preserve">Actuals</w:t>
            </w:r>
          </w:p>
        </w:tc>
        <w:tc>
          <w:tcPr/>
          <w:p>
            <w:pPr>
              <w:pStyle w:val="Compact"/>
              <w:jc w:val="left"/>
            </w:pPr>
            <w:r>
              <w:t xml:space="preserve">—</w:t>
            </w:r>
          </w:p>
        </w:tc>
        <w:tc>
          <w:tcPr/>
          <w:p>
            <w:pPr>
              <w:pStyle w:val="Compact"/>
              <w:jc w:val="left"/>
            </w:pPr>
            <w:r>
              <w:t xml:space="preserve">$3,500.00 (est.)</w:t>
            </w:r>
          </w:p>
        </w:tc>
      </w:tr>
      <w:tr>
        <w:tc>
          <w:tcPr>
            <w:gridSpan w:val="5"/>
          </w:tcPr>
          <w:p>
            <w:pPr>
              <w:pStyle w:val="Compact"/>
              <w:jc w:val="left"/>
            </w:pPr>
            <w:r>
              <w:t xml:space="preserve">Subtotal (incl. 15% GST)</w:t>
            </w:r>
          </w:p>
        </w:tc>
        <w:tc>
          <w:tcPr/>
          <w:p>
            <w:pPr>
              <w:pStyle w:val="Compact"/>
              <w:jc w:val="left"/>
            </w:pPr>
            <w:r>
              <w:t xml:space="preserve">$170,108.00</w:t>
            </w:r>
          </w:p>
        </w:tc>
      </w:tr>
      <w:tr>
        <w:tc>
          <w:tcPr>
            <w:gridSpan w:val="5"/>
          </w:tcPr>
          <w:p>
            <w:pPr>
              <w:pStyle w:val="Compact"/>
              <w:jc w:val="left"/>
            </w:pPr>
            <w:r>
              <w:t xml:space="preserve">Quotation Estimate Total – Business Consultant Services, New Zealand Wellington</w:t>
            </w:r>
          </w:p>
        </w:tc>
        <w:tc>
          <w:tcPr/>
          <w:p>
            <w:pPr>
              <w:pStyle w:val="Compact"/>
              <w:jc w:val="left"/>
            </w:pPr>
            <w:r>
              <w:t xml:space="preserve">$170,108.00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instalments: 30% upon execution of the engagement letter, 40% upon completion of Week 8 (mid-project milestone), and the remaining 30% upon delivery of the final report and all supporting deliverables. Invoices will be issued to the accounts payable department of Harbourview Logistics Group Ltd and are payable within 20 business days of the invoice date in accordance with standard commercial practice in</w:t>
      </w:r>
      <w:r>
        <w:t xml:space="preserve"> </w:t>
      </w:r>
      <w:r>
        <w:t xml:space="preserve">New Zealand Wellington</w:t>
      </w:r>
      <w:r>
        <w:t xml:space="preserve">. Late payments will attract interest at the rate prescribed under the New Zealand Late Payment of Commercial Debts (Interest) Act 2002.</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Should the client wish to proceed after the expiry date, the</w:t>
      </w:r>
      <w:r>
        <w:t xml:space="preserve"> </w:t>
      </w:r>
      <w:r>
        <w:t xml:space="preserve">Business Consultant</w:t>
      </w:r>
      <w:r>
        <w:t xml:space="preserve"> </w:t>
      </w:r>
      <w:r>
        <w:t xml:space="preserve">team reserves the right to revise rates to reflect any changes in market conditions or resource availability in the</w:t>
      </w:r>
      <w:r>
        <w:t xml:space="preserve"> </w:t>
      </w:r>
      <w:r>
        <w:t xml:space="preserve">New Zealand Wellington</w:t>
      </w:r>
      <w:r>
        <w:t xml:space="preserve"> </w:t>
      </w:r>
      <w:r>
        <w:t xml:space="preserve">region.</w:t>
      </w:r>
    </w:p>
    <w:p>
      <w:pPr>
        <w:numPr>
          <w:ilvl w:val="0"/>
          <w:numId w:val="1002"/>
        </w:numPr>
        <w:pStyle w:val="Compact"/>
      </w:pPr>
      <w:r>
        <w:t xml:space="preserve">All intellectual property, reports, models, and strategic documents produced under this engagement shall become the sole property of Harbourview Logistics Group Ltd upon full and final payment.</w:t>
      </w:r>
    </w:p>
    <w:p>
      <w:pPr>
        <w:numPr>
          <w:ilvl w:val="0"/>
          <w:numId w:val="1002"/>
        </w:numPr>
        <w:pStyle w:val="Compact"/>
      </w:pPr>
      <w:r>
        <w:t xml:space="preserve">The</w:t>
      </w:r>
      <w:r>
        <w:t xml:space="preserve"> </w:t>
      </w:r>
      <w:r>
        <w:t xml:space="preserve">Business Consultant</w:t>
      </w:r>
      <w:r>
        <w:t xml:space="preserve"> </w:t>
      </w:r>
      <w:r>
        <w:t xml:space="preserve">and all team members are bound by strict confidentiality obligations in accordance with the New Zealand Privacy Act 2020. No client data, financial information, or strategic plans will be disclosed to third parties without written consent.</w:t>
      </w:r>
    </w:p>
    <w:p>
      <w:pPr>
        <w:numPr>
          <w:ilvl w:val="0"/>
          <w:numId w:val="1002"/>
        </w:numPr>
        <w:pStyle w:val="Compact"/>
      </w:pPr>
      <w:r>
        <w:t xml:space="preserve">Any variation to the scope of work must be agreed in writing by both parties prior to commencement of additional services. Variations exceeding 10% of the total</w:t>
      </w:r>
      <w:r>
        <w:t xml:space="preserve"> </w:t>
      </w:r>
      <w:r>
        <w:t xml:space="preserve">Quotation Estimate</w:t>
      </w:r>
      <w:r>
        <w:t xml:space="preserve"> </w:t>
      </w:r>
      <w:r>
        <w:t xml:space="preserve">value will require a formal amendment to this document.</w:t>
      </w:r>
    </w:p>
    <w:p>
      <w:pPr>
        <w:numPr>
          <w:ilvl w:val="0"/>
          <w:numId w:val="1002"/>
        </w:numPr>
        <w:pStyle w:val="Compact"/>
      </w:pPr>
      <w:r>
        <w:t xml:space="preserve">This engagement is governed by the laws of New Zealand. Any disputes arising from this</w:t>
      </w:r>
      <w:r>
        <w:t xml:space="preserve"> </w:t>
      </w:r>
      <w:r>
        <w:t xml:space="preserve">Quotation Estimate</w:t>
      </w:r>
      <w:r>
        <w:t xml:space="preserve"> </w:t>
      </w:r>
      <w:r>
        <w:t xml:space="preserve">or the services rendered shall be resolved through mediation in</w:t>
      </w:r>
      <w:r>
        <w:t xml:space="preserve"> </w:t>
      </w:r>
      <w:r>
        <w:t xml:space="preserve">New Zealand Wellington</w:t>
      </w:r>
      <w:r>
        <w:t xml:space="preserve"> </w:t>
      </w:r>
      <w:r>
        <w:t xml:space="preserve">before any litigation is commenced in the District Court of Wellington.</w:t>
      </w:r>
    </w:p>
    <w:p>
      <w:pPr>
        <w:numPr>
          <w:ilvl w:val="0"/>
          <w:numId w:val="1002"/>
        </w:numPr>
        <w:pStyle w:val="Compact"/>
      </w:pPr>
      <w:r>
        <w:t xml:space="preserve">Apex Strategic Advisory Ltd carries professional indemnity insurance with a coverage limit of NZD $10,000,000, as is standard for a</w:t>
      </w:r>
      <w:r>
        <w:t xml:space="preserve"> </w:t>
      </w:r>
      <w:r>
        <w:t xml:space="preserve">Business Consultant</w:t>
      </w:r>
      <w:r>
        <w:t xml:space="preserve"> </w:t>
      </w:r>
      <w:r>
        <w:t xml:space="preserve">operating in the</w:t>
      </w:r>
      <w:r>
        <w:t xml:space="preserve"> </w:t>
      </w:r>
      <w:r>
        <w:t xml:space="preserve">New Zealand Wellington</w:t>
      </w:r>
      <w:r>
        <w:t xml:space="preserve"> </w:t>
      </w:r>
      <w:r>
        <w:t xml:space="preserve">professional services sector.</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all relevant financial records, operational data, and key personnel. It does not include legal advice, tax advisory services, or implementation of the recommended strategies. Should the client require a</w:t>
      </w:r>
      <w:r>
        <w:t xml:space="preserve"> </w:t>
      </w:r>
      <w:r>
        <w:t xml:space="preserve">Business Consultant</w:t>
      </w:r>
      <w:r>
        <w:t xml:space="preserve"> </w:t>
      </w:r>
      <w:r>
        <w:t xml:space="preserve">to remain on a retainer basis post-engagement for ongoing advisory support, a separate</w:t>
      </w:r>
      <w:r>
        <w:t xml:space="preserve"> </w:t>
      </w:r>
      <w:r>
        <w:t xml:space="preserve">Quotation Estimate</w:t>
      </w:r>
      <w:r>
        <w:t xml:space="preserve"> </w:t>
      </w:r>
      <w:r>
        <w:t xml:space="preserve">will be prepared at that time.</w:t>
      </w:r>
    </w:p>
    <w:bookmarkEnd w:id="26"/>
    <w:bookmarkStart w:id="27" w:name="acceptance-of-quotation-estimate"/>
    <w:p>
      <w:pPr>
        <w:pStyle w:val="Heading2"/>
      </w:pPr>
      <w:r>
        <w:t xml:space="preserve">7. Acceptance of Quotation Estimate</w:t>
      </w:r>
    </w:p>
    <w:p>
      <w:pPr>
        <w:pStyle w:val="FirstParagraph"/>
      </w:pPr>
      <w:r>
        <w:t xml:space="preserve">By signing below, the client acknowledges that it has read, understood, and accepts the terms, conditions, scope of work, and pricing set out in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to be delivered in</w:t>
      </w:r>
      <w:r>
        <w:t xml:space="preserve"> </w:t>
      </w:r>
      <w:r>
        <w:t xml:space="preserve">New Zealand Wellington</w:t>
      </w:r>
      <w:r>
        <w:t xml:space="preserve">.</w:t>
      </w:r>
    </w:p>
    <w:p>
      <w:pPr>
        <w:pStyle w:val="BodyText"/>
      </w:pPr>
      <w:r>
        <w:rPr>
          <w:bCs/>
          <w:b/>
        </w:rPr>
        <w:t xml:space="preserve">For and on behalf of Harbourview Logistics Group Ltd:</w:t>
      </w:r>
    </w:p>
    <w:p>
      <w:pPr>
        <w:pStyle w:val="BodyText"/>
      </w:pPr>
      <w:r>
        <w:t xml:space="preserve">Name: _________________________    Title: _________________________</w:t>
      </w:r>
    </w:p>
    <w:p>
      <w:pPr>
        <w:pStyle w:val="BodyText"/>
      </w:pPr>
      <w:r>
        <w:t xml:space="preserve">Signature: _________________________    Date: _________________________</w:t>
      </w:r>
    </w:p>
    <w:p>
      <w:pPr>
        <w:pStyle w:val="BodyText"/>
      </w:pPr>
      <w:r>
        <w:rPr>
          <w:bCs/>
          <w:b/>
        </w:rPr>
        <w:t xml:space="preserve">For and on behalf of Apex Strategic Advisory Ltd:</w:t>
      </w:r>
    </w:p>
    <w:p>
      <w:pPr>
        <w:pStyle w:val="BodyText"/>
      </w:pPr>
      <w:r>
        <w:t xml:space="preserve">Name: Dr. Margaret Chen    Title: Senior Business Consultant</w:t>
      </w:r>
    </w:p>
    <w:p>
      <w:pPr>
        <w:pStyle w:val="BodyText"/>
      </w:pPr>
      <w:r>
        <w:t xml:space="preserve">Signature: _________________________    Date: _________________________</w:t>
      </w:r>
    </w:p>
    <w:bookmarkEnd w:id="27"/>
    <w:p>
      <w:pPr>
        <w:pStyle w:val="BodyText"/>
      </w:pPr>
      <w:r>
        <w:t xml:space="preserve">Apex Strategic Advisory Ltd | Level 4, 128 Lambton Quay, Wellington, New Zealand | +64 4 382 5500 | enquiries@apexstrategic.co.nz</w:t>
      </w:r>
    </w:p>
    <w:p>
      <w:pPr>
        <w:pStyle w:val="BodyText"/>
      </w:pPr>
      <w:r>
        <w:t xml:space="preserve">This Quotation Estimate was prepared for use in New Zealand Wellington and is subject to the terms and conditions stated herein. Document Ref: QTE-2025-WLG-0047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New Zealand Wellington</dc:title>
  <dc:creator/>
  <dc:language>en</dc:language>
  <cp:keywords/>
  <dcterms:created xsi:type="dcterms:W3CDTF">2026-10-10T08:15:03Z</dcterms:created>
  <dcterms:modified xsi:type="dcterms:W3CDTF">2026-10-10T08:15:03Z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