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Apex Strategic Advisory Ltd.</w:t>
      </w:r>
    </w:p>
    <w:p>
      <w:pPr>
        <w:pStyle w:val="BodyText"/>
      </w:pPr>
      <w:r>
        <w:t xml:space="preserve">Plot 14, Aminu Kano Crescent, Wuse II, Abuja, FCT, Nigeria</w:t>
      </w:r>
    </w:p>
    <w:p>
      <w:pPr>
        <w:pStyle w:val="BodyText"/>
      </w:pPr>
      <w:r>
        <w:t xml:space="preserve">Tel: +234 (0) 803 555 7210 | Email: quotations@apexstrategic.ng</w:t>
      </w:r>
    </w:p>
    <w:p>
      <w:pPr>
        <w:pStyle w:val="BodyText"/>
      </w:pPr>
      <w:r>
        <w:t xml:space="preserve">RC: 1847293 | TIN: 10234567-0001</w:t>
      </w:r>
    </w:p>
    <w:bookmarkEnd w:id="20"/>
    <w:p>
      <w:pPr>
        <w:pStyle w:val="BodyText"/>
      </w:pPr>
      <w:r>
        <w:rPr>
          <w:bCs/>
          <w:b/>
        </w:rPr>
        <w:t xml:space="preserve">Quotation No.:</w:t>
      </w:r>
      <w:r>
        <w:t xml:space="preserve"> </w:t>
      </w:r>
      <w:r>
        <w:t xml:space="preserve">ASE/2025/0487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[Client Name / Company]</w:t>
      </w:r>
    </w:p>
    <w:p>
      <w:pPr>
        <w:pStyle w:val="BodyText"/>
      </w:pPr>
      <w:r>
        <w:t xml:space="preserve">Dear Sir/Madam,</w:t>
      </w:r>
    </w:p>
    <w:p>
      <w:pPr>
        <w:pStyle w:val="BodyText"/>
      </w:pPr>
      <w:r>
        <w:t xml:space="preserve">Thank you for considering</w:t>
      </w:r>
      <w:r>
        <w:t xml:space="preserve"> </w:t>
      </w:r>
      <w:r>
        <w:rPr>
          <w:bCs/>
          <w:b/>
        </w:rPr>
        <w:t xml:space="preserve">Apex Strategic Advisory Ltd.</w:t>
      </w:r>
      <w:r>
        <w:t xml:space="preserve"> </w:t>
      </w:r>
      <w:r>
        <w:t xml:space="preserve">as your preferred</w:t>
      </w:r>
      <w:r>
        <w:t xml:space="preserve"> </w:t>
      </w:r>
      <w:r>
        <w:t xml:space="preserve">Business Consultant</w:t>
      </w:r>
      <w:r>
        <w:t xml:space="preserve"> </w:t>
      </w:r>
      <w:r>
        <w:t xml:space="preserve">in</w:t>
      </w:r>
      <w:r>
        <w:t xml:space="preserve"> </w:t>
      </w:r>
      <w:r>
        <w:t xml:space="preserve">Nigeria Abuja</w:t>
      </w:r>
      <w:r>
        <w:t xml:space="preserve">. This</w:t>
      </w:r>
      <w:r>
        <w:t xml:space="preserve"> </w:t>
      </w:r>
      <w:r>
        <w:t xml:space="preserve">Quotation Estimate</w:t>
      </w:r>
      <w:r>
        <w:t xml:space="preserve"> </w:t>
      </w:r>
      <w:r>
        <w:t xml:space="preserve">has been carefully prepared following our initial consultation meeting held on 5 June 2025 at your offices in the Maitama District, Abuja. The purpose of this document is to provide a comprehensive and transparent breakdown of the professional services, deliverables, and associated costs for the engagement of our</w:t>
      </w:r>
      <w:r>
        <w:t xml:space="preserve"> </w:t>
      </w:r>
      <w:r>
        <w:t xml:space="preserve">Business Consultant</w:t>
      </w:r>
      <w:r>
        <w:t xml:space="preserve"> </w:t>
      </w:r>
      <w:r>
        <w:t xml:space="preserve">team to support your organisation's strategic growth objectives within the</w:t>
      </w:r>
      <w:r>
        <w:t xml:space="preserve"> </w:t>
      </w:r>
      <w:r>
        <w:t xml:space="preserve">Nigeria Abuja</w:t>
      </w:r>
      <w:r>
        <w:t xml:space="preserve"> </w:t>
      </w:r>
      <w:r>
        <w:t xml:space="preserve">commercial landscape.</w:t>
      </w:r>
    </w:p>
    <w:p>
      <w:pPr>
        <w:pStyle w:val="BodyText"/>
      </w:pPr>
      <w:r>
        <w:t xml:space="preserve">As a registered and accredited</w:t>
      </w:r>
      <w:r>
        <w:t xml:space="preserve"> </w:t>
      </w:r>
      <w:r>
        <w:t xml:space="preserve">Business Consultant</w:t>
      </w:r>
      <w:r>
        <w:t xml:space="preserve"> </w:t>
      </w:r>
      <w:r>
        <w:t xml:space="preserve">firm operating across the Federal Capital Territory, we bring over fifteen years of combined experience in corporate strategy, operational optimisation, market entry analysis, and regulatory compliance specifically tailored to the unique economic environment of</w:t>
      </w:r>
      <w:r>
        <w:t xml:space="preserve"> </w:t>
      </w:r>
      <w:r>
        <w:t xml:space="preserve">Nigeria Abuja</w:t>
      </w:r>
      <w:r>
        <w:t xml:space="preserve">. This</w:t>
      </w:r>
      <w:r>
        <w:t xml:space="preserve"> </w:t>
      </w:r>
      <w:r>
        <w:t xml:space="preserve">Quotation Estimate</w:t>
      </w:r>
      <w:r>
        <w:t xml:space="preserve"> </w:t>
      </w:r>
      <w:r>
        <w:t xml:space="preserve">reflects our commitment to delivering measurable value while maintaining the highest standards of professional integrity.</w:t>
      </w:r>
    </w:p>
    <w:bookmarkStart w:id="21" w:name="X38c04614c6852dc42671939c78d168ce144be86"/>
    <w:p>
      <w:pPr>
        <w:pStyle w:val="Heading2"/>
      </w:pPr>
      <w:r>
        <w:t xml:space="preserve">1. Scope of Services – Business Consultant Engagement</w:t>
      </w:r>
    </w:p>
    <w:p>
      <w:pPr>
        <w:pStyle w:val="FirstParagraph"/>
      </w:pPr>
      <w:r>
        <w:t xml:space="preserve">The following services constitute the full scope of the</w:t>
      </w:r>
      <w:r>
        <w:t xml:space="preserve"> </w:t>
      </w:r>
      <w:r>
        <w:t xml:space="preserve">Business Consultant</w:t>
      </w:r>
      <w:r>
        <w:t xml:space="preserve"> </w:t>
      </w:r>
      <w:r>
        <w:t xml:space="preserve">engagement as outlined in this</w:t>
      </w:r>
      <w:r>
        <w:t xml:space="preserve"> </w:t>
      </w:r>
      <w:r>
        <w:t xml:space="preserve">Quotation Estimate</w:t>
      </w:r>
      <w:r>
        <w:t xml:space="preserve">:</w:t>
      </w:r>
    </w:p>
    <w:p>
      <w:pPr>
        <w:numPr>
          <w:ilvl w:val="0"/>
          <w:numId w:val="1001"/>
        </w:numPr>
        <w:pStyle w:val="Compact"/>
      </w:pPr>
      <w:r>
        <w:rPr>
          <w:bCs/>
          <w:b/>
        </w:rPr>
        <w:t xml:space="preserve">Strategic Business Planning:</w:t>
      </w:r>
      <w:r>
        <w:t xml:space="preserve"> </w:t>
      </w:r>
      <w:r>
        <w:t xml:space="preserve">Development of a five-year strategic roadmap aligned with the economic policies and growth corridors of</w:t>
      </w:r>
      <w:r>
        <w:t xml:space="preserve"> </w:t>
      </w:r>
      <w:r>
        <w:t xml:space="preserve">Nigeria Abuja</w:t>
      </w:r>
      <w:r>
        <w:t xml:space="preserve">, including SWOT analysis, competitive benchmarking, and KPI framework design.</w:t>
      </w:r>
    </w:p>
    <w:p>
      <w:pPr>
        <w:numPr>
          <w:ilvl w:val="0"/>
          <w:numId w:val="1001"/>
        </w:numPr>
        <w:pStyle w:val="Compact"/>
      </w:pPr>
      <w:r>
        <w:rPr>
          <w:bCs/>
          <w:b/>
        </w:rPr>
        <w:t xml:space="preserve">Operational Efficiency Audit:</w:t>
      </w:r>
      <w:r>
        <w:t xml:space="preserve"> </w:t>
      </w:r>
      <w:r>
        <w:t xml:space="preserve">Comprehensive review of existing business processes, supply chain logistics, and resource allocation to identify areas of cost reduction and productivity enhancement.</w:t>
      </w:r>
    </w:p>
    <w:p>
      <w:pPr>
        <w:numPr>
          <w:ilvl w:val="0"/>
          <w:numId w:val="1001"/>
        </w:numPr>
        <w:pStyle w:val="Compact"/>
      </w:pPr>
      <w:r>
        <w:rPr>
          <w:bCs/>
          <w:b/>
        </w:rPr>
        <w:t xml:space="preserve">Market Entry &amp; Expansion Advisory:</w:t>
      </w:r>
      <w:r>
        <w:t xml:space="preserve"> </w:t>
      </w:r>
      <w:r>
        <w:t xml:space="preserve">Research and advisory on expanding operations within the Abuja FCT and neighbouring states, including regulatory mapping with the CAC, NCC, and relevant sector-specific agencies in</w:t>
      </w:r>
      <w:r>
        <w:t xml:space="preserve"> </w:t>
      </w:r>
      <w:r>
        <w:t xml:space="preserve">Nigeria Abuja</w:t>
      </w:r>
      <w:r>
        <w:t xml:space="preserve">.</w:t>
      </w:r>
    </w:p>
    <w:p>
      <w:pPr>
        <w:numPr>
          <w:ilvl w:val="0"/>
          <w:numId w:val="1001"/>
        </w:numPr>
        <w:pStyle w:val="Compact"/>
      </w:pPr>
      <w:r>
        <w:rPr>
          <w:bCs/>
          <w:b/>
        </w:rPr>
        <w:t xml:space="preserve">Financial Modelling &amp; Forecasting:</w:t>
      </w:r>
      <w:r>
        <w:t xml:space="preserve"> </w:t>
      </w:r>
      <w:r>
        <w:t xml:space="preserve">Construction of detailed financial models, cash flow projections, and investment return analyses to support board-level decision-making.</w:t>
      </w:r>
    </w:p>
    <w:p>
      <w:pPr>
        <w:numPr>
          <w:ilvl w:val="0"/>
          <w:numId w:val="1001"/>
        </w:numPr>
        <w:pStyle w:val="Compact"/>
      </w:pPr>
      <w:r>
        <w:rPr>
          <w:bCs/>
          <w:b/>
        </w:rPr>
        <w:t xml:space="preserve">Stakeholder &amp; Government Relations Advisory:</w:t>
      </w:r>
      <w:r>
        <w:t xml:space="preserve"> </w:t>
      </w:r>
      <w:r>
        <w:t xml:space="preserve">Guidance on navigating the public-private partnership landscape, tender processes, and policy engagement specific to the</w:t>
      </w:r>
      <w:r>
        <w:t xml:space="preserve"> </w:t>
      </w:r>
      <w:r>
        <w:t xml:space="preserve">Nigeria Abuja</w:t>
      </w:r>
      <w:r>
        <w:t xml:space="preserve"> </w:t>
      </w:r>
      <w:r>
        <w:t xml:space="preserve">administrative and commercial ecosystem.</w:t>
      </w:r>
    </w:p>
    <w:p>
      <w:pPr>
        <w:numPr>
          <w:ilvl w:val="0"/>
          <w:numId w:val="1001"/>
        </w:numPr>
        <w:pStyle w:val="Compact"/>
      </w:pPr>
      <w:r>
        <w:rPr>
          <w:bCs/>
          <w:b/>
        </w:rPr>
        <w:t xml:space="preserve">Change Management &amp; Training:</w:t>
      </w:r>
      <w:r>
        <w:t xml:space="preserve"> </w:t>
      </w:r>
      <w:r>
        <w:t xml:space="preserve">Design and delivery of two on-site training workshops for senior management and middle leadership on implementing the recommended strategic initiatives.</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(NGN)</w:t>
            </w:r>
          </w:p>
        </w:tc>
        <w:tc>
          <w:tcPr/>
          <w:p>
            <w:pPr>
              <w:pStyle w:val="Compact"/>
              <w:jc w:val="left"/>
            </w:pPr>
            <w:r>
              <w:t xml:space="preserve">Total Cost (NGN)</w:t>
            </w:r>
          </w:p>
        </w:tc>
      </w:tr>
      <w:tr>
        <w:tc>
          <w:tcPr/>
          <w:p>
            <w:pPr>
              <w:pStyle w:val="Compact"/>
              <w:jc w:val="left"/>
            </w:pPr>
            <w:r>
              <w:t xml:space="preserve">1</w:t>
            </w:r>
          </w:p>
        </w:tc>
        <w:tc>
          <w:tcPr/>
          <w:p>
            <w:pPr>
              <w:pStyle w:val="Compact"/>
              <w:jc w:val="left"/>
            </w:pPr>
            <w:r>
              <w:t xml:space="preserve">Strategic Business Planning &amp; Roadmap Development</w:t>
            </w:r>
          </w:p>
        </w:tc>
        <w:tc>
          <w:tcPr/>
          <w:p>
            <w:pPr>
              <w:pStyle w:val="Compact"/>
              <w:jc w:val="left"/>
            </w:pPr>
            <w:r>
              <w:t xml:space="preserve">4 weeks</w:t>
            </w:r>
          </w:p>
        </w:tc>
        <w:tc>
          <w:tcPr/>
          <w:p>
            <w:pPr>
              <w:pStyle w:val="Compact"/>
              <w:jc w:val="left"/>
            </w:pPr>
            <w:r>
              <w:t xml:space="preserve">—</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Operational Efficiency Audit &amp; Process Redesign</w:t>
            </w:r>
          </w:p>
        </w:tc>
        <w:tc>
          <w:tcPr/>
          <w:p>
            <w:pPr>
              <w:pStyle w:val="Compact"/>
              <w:jc w:val="left"/>
            </w:pPr>
            <w:r>
              <w:t xml:space="preserve">3 weeks</w:t>
            </w:r>
          </w:p>
        </w:tc>
        <w:tc>
          <w:tcPr/>
          <w:p>
            <w:pPr>
              <w:pStyle w:val="Compact"/>
              <w:jc w:val="left"/>
            </w:pPr>
            <w:r>
              <w:t xml:space="preserve">—</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Market Entry &amp; Expansion Advisory (Abuja FCT &amp; Environs)</w:t>
            </w:r>
          </w:p>
        </w:tc>
        <w:tc>
          <w:tcPr/>
          <w:p>
            <w:pPr>
              <w:pStyle w:val="Compact"/>
              <w:jc w:val="left"/>
            </w:pPr>
            <w:r>
              <w:t xml:space="preserve">2 weeks</w:t>
            </w:r>
          </w:p>
        </w:tc>
        <w:tc>
          <w:tcPr/>
          <w:p>
            <w:pPr>
              <w:pStyle w:val="Compact"/>
              <w:jc w:val="left"/>
            </w:pPr>
            <w:r>
              <w:t xml:space="preserve">—</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Financial Modelling, Forecasting &amp; Investment Analysis</w:t>
            </w:r>
          </w:p>
        </w:tc>
        <w:tc>
          <w:tcPr/>
          <w:p>
            <w:pPr>
              <w:pStyle w:val="Compact"/>
              <w:jc w:val="left"/>
            </w:pPr>
            <w:r>
              <w:t xml:space="preserve">3 weeks</w:t>
            </w:r>
          </w:p>
        </w:tc>
        <w:tc>
          <w:tcPr/>
          <w:p>
            <w:pPr>
              <w:pStyle w:val="Compact"/>
              <w:jc w:val="left"/>
            </w:pPr>
            <w:r>
              <w:t xml:space="preserve">—</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Stakeholder &amp; Government Relations Advisory</w:t>
            </w:r>
          </w:p>
        </w:tc>
        <w:tc>
          <w:tcPr/>
          <w:p>
            <w:pPr>
              <w:pStyle w:val="Compact"/>
              <w:jc w:val="left"/>
            </w:pPr>
            <w:r>
              <w:t xml:space="preserve">Ongoing (6 months)</w:t>
            </w:r>
          </w:p>
        </w:tc>
        <w:tc>
          <w:tcPr/>
          <w:p>
            <w:pPr>
              <w:pStyle w:val="Compact"/>
              <w:jc w:val="left"/>
            </w:pPr>
            <w:r>
              <w:t xml:space="preserve">450,000/mo</w:t>
            </w:r>
          </w:p>
        </w:tc>
        <w:tc>
          <w:tcPr/>
          <w:p>
            <w:pPr>
              <w:pStyle w:val="Compact"/>
              <w:jc w:val="left"/>
            </w:pPr>
            <w:r>
              <w:t xml:space="preserve">2,700,000</w:t>
            </w:r>
          </w:p>
        </w:tc>
      </w:tr>
      <w:tr>
        <w:tc>
          <w:tcPr/>
          <w:p>
            <w:pPr>
              <w:pStyle w:val="Compact"/>
              <w:jc w:val="left"/>
            </w:pPr>
            <w:r>
              <w:t xml:space="preserve">6</w:t>
            </w:r>
          </w:p>
        </w:tc>
        <w:tc>
          <w:tcPr/>
          <w:p>
            <w:pPr>
              <w:pStyle w:val="Compact"/>
              <w:jc w:val="left"/>
            </w:pPr>
            <w:r>
              <w:t xml:space="preserve">Change Management Workshops (2 sessions, on-site in Abuja)</w:t>
            </w:r>
          </w:p>
        </w:tc>
        <w:tc>
          <w:tcPr/>
          <w:p>
            <w:pPr>
              <w:pStyle w:val="Compact"/>
              <w:jc w:val="left"/>
            </w:pPr>
            <w:r>
              <w:t xml:space="preserve">2 days</w:t>
            </w:r>
          </w:p>
        </w:tc>
        <w:tc>
          <w:tcPr/>
          <w:p>
            <w:pPr>
              <w:pStyle w:val="Compact"/>
              <w:jc w:val="left"/>
            </w:pPr>
            <w:r>
              <w:t xml:space="preserve">850,000/session</w:t>
            </w:r>
          </w:p>
        </w:tc>
        <w:tc>
          <w:tcPr/>
          <w:p>
            <w:pPr>
              <w:pStyle w:val="Compact"/>
              <w:jc w:val="left"/>
            </w:pPr>
            <w:r>
              <w:t xml:space="preserve">1,700,000</w:t>
            </w:r>
          </w:p>
        </w:tc>
      </w:tr>
      <w:tr>
        <w:tc>
          <w:tcPr/>
          <w:p>
            <w:pPr>
              <w:pStyle w:val="Compact"/>
              <w:jc w:val="left"/>
            </w:pPr>
            <w:r>
              <w:t xml:space="preserve">7</w:t>
            </w:r>
          </w:p>
        </w:tc>
        <w:tc>
          <w:tcPr/>
          <w:p>
            <w:pPr>
              <w:pStyle w:val="Compact"/>
              <w:jc w:val="left"/>
            </w:pPr>
            <w:r>
              <w:t xml:space="preserve">Travel, Accommodation &amp; Local Logistics within Nigeria Abuja</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600,000</w:t>
            </w:r>
          </w:p>
        </w:tc>
      </w:tr>
      <w:tr>
        <w:tc>
          <w:tcPr/>
          <w:p>
            <w:pPr>
              <w:pStyle w:val="Compact"/>
              <w:jc w:val="left"/>
            </w:pPr>
            <w:r>
              <w:t xml:space="preserve">8</w:t>
            </w:r>
          </w:p>
        </w:tc>
        <w:tc>
          <w:tcPr/>
          <w:p>
            <w:pPr>
              <w:pStyle w:val="Compact"/>
              <w:jc w:val="left"/>
            </w:pPr>
            <w:r>
              <w:t xml:space="preserve">Project Management &amp; Coordination (Business Consultant Lead)</w:t>
            </w:r>
          </w:p>
        </w:tc>
        <w:tc>
          <w:tcPr/>
          <w:p>
            <w:pPr>
              <w:pStyle w:val="Compact"/>
              <w:jc w:val="left"/>
            </w:pPr>
            <w:r>
              <w:t xml:space="preserve">Full engagement</w:t>
            </w:r>
          </w:p>
        </w:tc>
        <w:tc>
          <w:tcPr/>
          <w:p>
            <w:pPr>
              <w:pStyle w:val="Compact"/>
              <w:jc w:val="left"/>
            </w:pPr>
            <w:r>
              <w:t xml:space="preserve">—</w:t>
            </w:r>
          </w:p>
        </w:tc>
        <w:tc>
          <w:tcPr/>
          <w:p>
            <w:pPr>
              <w:pStyle w:val="Compact"/>
              <w:jc w:val="left"/>
            </w:pPr>
            <w:r>
              <w:t xml:space="preserve">1,500,000</w:t>
            </w:r>
          </w:p>
        </w:tc>
      </w:tr>
      <w:tr>
        <w:tc>
          <w:tcPr>
            <w:gridSpan w:val="4"/>
          </w:tcPr>
          <w:p>
            <w:pPr>
              <w:pStyle w:val="Compact"/>
              <w:jc w:val="right"/>
            </w:pPr>
            <w:r>
              <w:t xml:space="preserve">Subtotal (NGN)</w:t>
            </w:r>
          </w:p>
        </w:tc>
        <w:tc>
          <w:tcPr/>
          <w:p>
            <w:pPr>
              <w:pStyle w:val="Compact"/>
              <w:jc w:val="left"/>
            </w:pPr>
            <w:r>
              <w:t xml:space="preserve">20,500,000</w:t>
            </w:r>
          </w:p>
        </w:tc>
      </w:tr>
      <w:tr>
        <w:tc>
          <w:tcPr>
            <w:gridSpan w:val="4"/>
          </w:tcPr>
          <w:p>
            <w:pPr>
              <w:pStyle w:val="Compact"/>
              <w:jc w:val="right"/>
            </w:pPr>
            <w:r>
              <w:t xml:space="preserve">VAT @ 7.5% (as applicable in Nigeria)</w:t>
            </w:r>
          </w:p>
        </w:tc>
        <w:tc>
          <w:tcPr/>
          <w:p>
            <w:pPr>
              <w:pStyle w:val="Compact"/>
              <w:jc w:val="left"/>
            </w:pPr>
            <w:r>
              <w:t xml:space="preserve">1,537,500</w:t>
            </w:r>
          </w:p>
        </w:tc>
      </w:tr>
      <w:tr>
        <w:tc>
          <w:tcPr>
            <w:gridSpan w:val="4"/>
          </w:tcPr>
          <w:p>
            <w:pPr>
              <w:pStyle w:val="Compact"/>
              <w:jc w:val="right"/>
            </w:pPr>
            <w:r>
              <w:t xml:space="preserve">GRAND TOTAL (NGN)</w:t>
            </w:r>
          </w:p>
        </w:tc>
        <w:tc>
          <w:tcPr/>
          <w:p>
            <w:pPr>
              <w:pStyle w:val="Compact"/>
              <w:jc w:val="left"/>
            </w:pPr>
            <w:r>
              <w:t xml:space="preserve">22,037,500</w:t>
            </w:r>
          </w:p>
        </w:tc>
      </w:tr>
    </w:tbl>
    <w:bookmarkEnd w:id="22"/>
    <w:bookmarkStart w:id="23" w:name="payment-terms"/>
    <w:p>
      <w:pPr>
        <w:pStyle w:val="Heading2"/>
      </w:pPr>
      <w:r>
        <w:t xml:space="preserve">3. Payment Terms</w:t>
      </w:r>
    </w:p>
    <w:p>
      <w:pPr>
        <w:numPr>
          <w:ilvl w:val="0"/>
          <w:numId w:val="1002"/>
        </w:numPr>
        <w:pStyle w:val="Compact"/>
      </w:pPr>
      <w:r>
        <w:rPr>
          <w:bCs/>
          <w:b/>
        </w:rPr>
        <w:t xml:space="preserve">30% Advance Payment:</w:t>
      </w:r>
      <w:r>
        <w:t xml:space="preserve"> </w:t>
      </w:r>
      <w:r>
        <w:t xml:space="preserve">NGN 6,611,250 due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rPr>
          <w:bCs/>
          <w:b/>
        </w:rPr>
        <w:t xml:space="preserve">40% Milestone Payment:</w:t>
      </w:r>
      <w:r>
        <w:t xml:space="preserve"> </w:t>
      </w:r>
      <w:r>
        <w:t xml:space="preserve">NGN 8,815,000 due upon completion of the Strategic Business Plan and Operational Audit deliverables.</w:t>
      </w:r>
    </w:p>
    <w:p>
      <w:pPr>
        <w:numPr>
          <w:ilvl w:val="0"/>
          <w:numId w:val="1002"/>
        </w:numPr>
        <w:pStyle w:val="Compact"/>
      </w:pPr>
      <w:r>
        <w:rPr>
          <w:bCs/>
          <w:b/>
        </w:rPr>
        <w:t xml:space="preserve">30% Final Payment:</w:t>
      </w:r>
      <w:r>
        <w:t xml:space="preserve"> </w:t>
      </w:r>
      <w:r>
        <w:t xml:space="preserve">NGN 6,611,250 due upon final project handover, submission of all reports, and completion of training workshops.</w:t>
      </w:r>
    </w:p>
    <w:p>
      <w:pPr>
        <w:numPr>
          <w:ilvl w:val="0"/>
          <w:numId w:val="1002"/>
        </w:numPr>
        <w:pStyle w:val="Compact"/>
      </w:pPr>
      <w:r>
        <w:t xml:space="preserve">All payments shall be made via bank transfer to the account of Apex Strategic Advisory Ltd., First Bank of Nigeria, Abuja Branch, Account No. 2045 8877 12. Payment is due within fourteen (14) calendar days of invoice issuance.</w:t>
      </w:r>
    </w:p>
    <w:bookmarkEnd w:id="23"/>
    <w:bookmarkStart w:id="24" w:name="terms-and-conditions"/>
    <w:p>
      <w:pPr>
        <w:pStyle w:val="Heading2"/>
      </w:pPr>
      <w:r>
        <w:t xml:space="preserve">4.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pricing may be subject to revision due to market conditions in</w:t>
      </w:r>
      <w:r>
        <w:t xml:space="preserve"> </w:t>
      </w:r>
      <w:r>
        <w:t xml:space="preserve">Nigeria Abuja</w:t>
      </w:r>
      <w:r>
        <w:t xml:space="preserve">.</w:t>
      </w:r>
    </w:p>
    <w:p>
      <w:pPr>
        <w:numPr>
          <w:ilvl w:val="0"/>
          <w:numId w:val="1003"/>
        </w:numPr>
        <w:pStyle w:val="Compact"/>
      </w:pPr>
      <w:r>
        <w:t xml:space="preserve">The</w:t>
      </w:r>
      <w:r>
        <w:t xml:space="preserve"> </w:t>
      </w:r>
      <w:r>
        <w:t xml:space="preserve">Business Consultant</w:t>
      </w:r>
      <w:r>
        <w:t xml:space="preserve"> </w:t>
      </w:r>
      <w:r>
        <w:t xml:space="preserve">engagement shall commence within five (5) business days of receipt of the advance payment and formal acceptance.</w:t>
      </w:r>
    </w:p>
    <w:p>
      <w:pPr>
        <w:numPr>
          <w:ilvl w:val="0"/>
          <w:numId w:val="1003"/>
        </w:numPr>
        <w:pStyle w:val="Compact"/>
      </w:pPr>
      <w:r>
        <w:t xml:space="preserve">All intellectual property, reports, models, and strategic documents produced under this engagement shall become the sole property of the client upon full and final payment.</w:t>
      </w:r>
    </w:p>
    <w:p>
      <w:pPr>
        <w:numPr>
          <w:ilvl w:val="0"/>
          <w:numId w:val="1003"/>
        </w:numPr>
        <w:pStyle w:val="Compact"/>
      </w:pPr>
      <w:r>
        <w:t xml:space="preserve">Confidentiality: All information shared during the course of this</w:t>
      </w:r>
      <w:r>
        <w:t xml:space="preserve"> </w:t>
      </w:r>
      <w:r>
        <w:t xml:space="preserve">Business Consultant</w:t>
      </w:r>
      <w:r>
        <w:t xml:space="preserve"> </w:t>
      </w:r>
      <w:r>
        <w:t xml:space="preserve">engagement shall be treated as strictly confidential and shall not be disclosed to any third party without written consent, in accordance with the Data Protection Act 2023 of Nigeria.</w:t>
      </w:r>
    </w:p>
    <w:p>
      <w:pPr>
        <w:numPr>
          <w:ilvl w:val="0"/>
          <w:numId w:val="1003"/>
        </w:numPr>
        <w:pStyle w:val="Compact"/>
      </w:pPr>
      <w:r>
        <w:t xml:space="preserve">Any changes to the scope of work beyond what is stated in this</w:t>
      </w:r>
      <w:r>
        <w:t xml:space="preserve"> </w:t>
      </w:r>
      <w:r>
        <w:t xml:space="preserve">Quotation Estimate</w:t>
      </w:r>
      <w:r>
        <w:t xml:space="preserve"> </w:t>
      </w:r>
      <w:r>
        <w:t xml:space="preserve">shall be subject to a supplementary quotation and mutual written agreement.</w:t>
      </w:r>
    </w:p>
    <w:p>
      <w:pPr>
        <w:numPr>
          <w:ilvl w:val="0"/>
          <w:numId w:val="1003"/>
        </w:numPr>
        <w:pStyle w:val="Compact"/>
      </w:pPr>
      <w:r>
        <w:t xml:space="preserve">This engagement is governed by the laws of the Federal Republic of Nigeria, and any disputes shall be resolved through arbitration in</w:t>
      </w:r>
      <w:r>
        <w:t xml:space="preserve"> </w:t>
      </w:r>
      <w:r>
        <w:t xml:space="preserve">Nigeria Abuja</w:t>
      </w:r>
      <w:r>
        <w:t xml:space="preserve"> </w:t>
      </w:r>
      <w:r>
        <w:t xml:space="preserve">in accordance with the Arbitration and Conciliation Act, Cap A18, LFN 2004.</w:t>
      </w:r>
    </w:p>
    <w:p>
      <w:pPr>
        <w:numPr>
          <w:ilvl w:val="0"/>
          <w:numId w:val="1003"/>
        </w:numPr>
        <w:pStyle w:val="Compact"/>
      </w:pPr>
      <w:r>
        <w:t xml:space="preserve">The</w:t>
      </w:r>
      <w:r>
        <w:t xml:space="preserve"> </w:t>
      </w:r>
      <w:r>
        <w:t xml:space="preserve">Business Consultant</w:t>
      </w:r>
      <w:r>
        <w:t xml:space="preserve"> </w:t>
      </w:r>
      <w:r>
        <w:t xml:space="preserve">reserves the right to assign qualified sub-consultants to specific workstreams, provided that the lead consultant retains overall accountability for deliverables.</w:t>
      </w:r>
    </w:p>
    <w:bookmarkEnd w:id="24"/>
    <w:bookmarkStart w:id="25" w:name="deliverables-timeline"/>
    <w:p>
      <w:pPr>
        <w:pStyle w:val="Heading2"/>
      </w:pPr>
      <w:r>
        <w:t xml:space="preserve">5. Deliverables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Deliverable</w:t>
            </w:r>
          </w:p>
        </w:tc>
        <w:tc>
          <w:tcPr/>
          <w:p>
            <w:pPr>
              <w:pStyle w:val="Compact"/>
              <w:jc w:val="left"/>
            </w:pPr>
            <w:r>
              <w:t xml:space="preserve">Expected Completion</w:t>
            </w:r>
          </w:p>
        </w:tc>
      </w:tr>
      <w:tr>
        <w:tc>
          <w:tcPr/>
          <w:p>
            <w:pPr>
              <w:pStyle w:val="Compact"/>
              <w:jc w:val="left"/>
            </w:pPr>
            <w:r>
              <w:t xml:space="preserve">Phase 1</w:t>
            </w:r>
          </w:p>
        </w:tc>
        <w:tc>
          <w:tcPr/>
          <w:p>
            <w:pPr>
              <w:pStyle w:val="Compact"/>
              <w:jc w:val="left"/>
            </w:pPr>
            <w:r>
              <w:t xml:space="preserve">Strategic Business Plan &amp; 5-Year Roadmap</w:t>
            </w:r>
          </w:p>
        </w:tc>
        <w:tc>
          <w:tcPr/>
          <w:p>
            <w:pPr>
              <w:pStyle w:val="Compact"/>
              <w:jc w:val="left"/>
            </w:pPr>
            <w:r>
              <w:t xml:space="preserve">Week 4</w:t>
            </w:r>
          </w:p>
        </w:tc>
      </w:tr>
      <w:tr>
        <w:tc>
          <w:tcPr/>
          <w:p>
            <w:pPr>
              <w:pStyle w:val="Compact"/>
              <w:jc w:val="left"/>
            </w:pPr>
            <w:r>
              <w:t xml:space="preserve">Phase 2</w:t>
            </w:r>
          </w:p>
        </w:tc>
        <w:tc>
          <w:tcPr/>
          <w:p>
            <w:pPr>
              <w:pStyle w:val="Compact"/>
              <w:jc w:val="left"/>
            </w:pPr>
            <w:r>
              <w:t xml:space="preserve">Operational Audit Report &amp; Process Redesign Blueprint</w:t>
            </w:r>
          </w:p>
        </w:tc>
        <w:tc>
          <w:tcPr/>
          <w:p>
            <w:pPr>
              <w:pStyle w:val="Compact"/>
              <w:jc w:val="left"/>
            </w:pPr>
            <w:r>
              <w:t xml:space="preserve">Week 7</w:t>
            </w:r>
          </w:p>
        </w:tc>
      </w:tr>
      <w:tr>
        <w:tc>
          <w:tcPr/>
          <w:p>
            <w:pPr>
              <w:pStyle w:val="Compact"/>
              <w:jc w:val="left"/>
            </w:pPr>
            <w:r>
              <w:t xml:space="preserve">Phase 3</w:t>
            </w:r>
          </w:p>
        </w:tc>
        <w:tc>
          <w:tcPr/>
          <w:p>
            <w:pPr>
              <w:pStyle w:val="Compact"/>
              <w:jc w:val="left"/>
            </w:pPr>
            <w:r>
              <w:t xml:space="preserve">Market Entry Strategy &amp; Regulatory Compliance Guide</w:t>
            </w:r>
          </w:p>
        </w:tc>
        <w:tc>
          <w:tcPr/>
          <w:p>
            <w:pPr>
              <w:pStyle w:val="Compact"/>
              <w:jc w:val="left"/>
            </w:pPr>
            <w:r>
              <w:t xml:space="preserve">Week 9</w:t>
            </w:r>
          </w:p>
        </w:tc>
      </w:tr>
      <w:tr>
        <w:tc>
          <w:tcPr/>
          <w:p>
            <w:pPr>
              <w:pStyle w:val="Compact"/>
              <w:jc w:val="left"/>
            </w:pPr>
            <w:r>
              <w:t xml:space="preserve">Phase 4</w:t>
            </w:r>
          </w:p>
        </w:tc>
        <w:tc>
          <w:tcPr/>
          <w:p>
            <w:pPr>
              <w:pStyle w:val="Compact"/>
              <w:jc w:val="left"/>
            </w:pPr>
            <w:r>
              <w:t xml:space="preserve">Financial Models &amp; Investment Feasibility Report</w:t>
            </w:r>
          </w:p>
        </w:tc>
        <w:tc>
          <w:tcPr/>
          <w:p>
            <w:pPr>
              <w:pStyle w:val="Compact"/>
              <w:jc w:val="left"/>
            </w:pPr>
            <w:r>
              <w:t xml:space="preserve">Week 12</w:t>
            </w:r>
          </w:p>
        </w:tc>
      </w:tr>
      <w:tr>
        <w:tc>
          <w:tcPr/>
          <w:p>
            <w:pPr>
              <w:pStyle w:val="Compact"/>
              <w:jc w:val="left"/>
            </w:pPr>
            <w:r>
              <w:t xml:space="preserve">Phase 5</w:t>
            </w:r>
          </w:p>
        </w:tc>
        <w:tc>
          <w:tcPr/>
          <w:p>
            <w:pPr>
              <w:pStyle w:val="Compact"/>
              <w:jc w:val="left"/>
            </w:pPr>
            <w:r>
              <w:t xml:space="preserve">Training Workshops &amp; Final Handover Package</w:t>
            </w:r>
          </w:p>
        </w:tc>
        <w:tc>
          <w:tcPr/>
          <w:p>
            <w:pPr>
              <w:pStyle w:val="Compact"/>
              <w:jc w:val="left"/>
            </w:pPr>
            <w:r>
              <w:t xml:space="preserve">Week 14</w:t>
            </w:r>
          </w:p>
        </w:tc>
      </w:tr>
    </w:tbl>
    <w:p>
      <w:pPr>
        <w:pStyle w:val="BodyText"/>
      </w:pPr>
      <w:r>
        <w:rPr>
          <w:bCs/>
          <w:b/>
        </w:rPr>
        <w:t xml:space="preserve">Acceptance of Quotation Estimate</w:t>
      </w:r>
    </w:p>
    <w:p>
      <w:pPr>
        <w:pStyle w:val="BodyText"/>
      </w:pPr>
      <w:r>
        <w:t xml:space="preserve">By signing below, the client acknowledges and accepts the terms, scope, and pricing outlined in this</w:t>
      </w:r>
      <w:r>
        <w:t xml:space="preserve"> </w:t>
      </w:r>
      <w:r>
        <w:t xml:space="preserve">Quotation Estimate</w:t>
      </w:r>
      <w:r>
        <w:t xml:space="preserve"> </w:t>
      </w:r>
      <w:r>
        <w:t xml:space="preserve">for the</w:t>
      </w:r>
      <w:r>
        <w:t xml:space="preserve"> </w:t>
      </w:r>
      <w:r>
        <w:t xml:space="preserve">Business Consultant</w:t>
      </w:r>
      <w:r>
        <w:t xml:space="preserve"> </w:t>
      </w:r>
      <w:r>
        <w:t xml:space="preserve">services to be delivered in</w:t>
      </w:r>
      <w:r>
        <w:t xml:space="preserve"> </w:t>
      </w:r>
      <w:r>
        <w:t xml:space="preserve">Nigeria Abuja</w:t>
      </w:r>
      <w:r>
        <w:t xml:space="preserve">.</w:t>
      </w:r>
    </w:p>
    <w:p>
      <w:pPr>
        <w:pStyle w:val="BodyText"/>
      </w:pPr>
      <w:r>
        <w:t xml:space="preserve">Client Name / Title</w:t>
      </w:r>
    </w:p>
    <w:p>
      <w:pPr>
        <w:pStyle w:val="BodyText"/>
      </w:pPr>
      <w:r>
        <w:t xml:space="preserve">Company Name</w:t>
      </w:r>
    </w:p>
    <w:p>
      <w:pPr>
        <w:pStyle w:val="BodyText"/>
      </w:pPr>
      <w:r>
        <w:t xml:space="preserve">Date &amp; Signature</w:t>
      </w:r>
    </w:p>
    <w:p>
      <w:pPr>
        <w:pStyle w:val="BodyText"/>
      </w:pPr>
      <w:r>
        <w:t xml:space="preserve">Apex Strategic Advisory Ltd.</w:t>
      </w:r>
      <w:r>
        <w:br/>
      </w:r>
      <w:r>
        <w:t xml:space="preserve">(Authorised Representative)</w:t>
      </w:r>
    </w:p>
    <w:p>
      <w:pPr>
        <w:pStyle w:val="BodyText"/>
      </w:pPr>
      <w:r>
        <w:t xml:space="preserve">Date &amp; Signature</w:t>
      </w:r>
    </w:p>
    <w:p>
      <w:pPr>
        <w:pStyle w:val="BodyText"/>
      </w:pPr>
      <w:r>
        <w:t xml:space="preserve">Apex Strategic Advisory Ltd. | Plot 14, Aminu Kano Crescent, Wuse II, Abuja, FCT, Nigeria</w:t>
      </w:r>
    </w:p>
    <w:p>
      <w:pPr>
        <w:pStyle w:val="BodyText"/>
      </w:pPr>
      <w:r>
        <w:t xml:space="preserve">This Quotation Estimate is the property of Apex Strategic Advisory Ltd. and is intended solely for the named recipient. Unauthorised reproduction or distribution is prohibited.</w:t>
      </w:r>
    </w:p>
    <w:p>
      <w:pPr>
        <w:pStyle w:val="BodyText"/>
      </w:pPr>
      <w:r>
        <w:t xml:space="preserve">Document Ref: ASE/2025/0487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Nigeria Abuja</dc:title>
  <dc:creator/>
  <dc:language>en</dc:language>
  <cp:keywords/>
  <dcterms:created xsi:type="dcterms:W3CDTF">2026-10-10T03:17:37Z</dcterms:created>
  <dcterms:modified xsi:type="dcterms:W3CDTF">2026-10-10T03:17:37Z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