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Qatar</w:t>
      </w:r>
      <w:r>
        <w:t xml:space="preserve"> </w:t>
      </w:r>
      <w:r>
        <w:t xml:space="preserve">Doha</w:t>
      </w:r>
    </w:p>
    <w:bookmarkStart w:id="20" w:name="quotation-estimate"/>
    <w:p>
      <w:pPr>
        <w:pStyle w:val="Heading1"/>
      </w:pPr>
      <w:r>
        <w:t xml:space="preserve">QUOTATION ESTIMATE</w:t>
      </w:r>
    </w:p>
    <w:p>
      <w:pPr>
        <w:pStyle w:val="FirstParagraph"/>
      </w:pPr>
      <w:r>
        <w:t xml:space="preserve">Professional Business Consultant Services</w:t>
      </w:r>
    </w:p>
    <w:p>
      <w:pPr>
        <w:pStyle w:val="BodyText"/>
      </w:pPr>
      <w:r>
        <w:t xml:space="preserve">Prepared for Clients in Qatar Doha</w:t>
      </w:r>
    </w:p>
    <w:p>
      <w:pPr>
        <w:pStyle w:val="BodyText"/>
      </w:pPr>
      <w:r>
        <w:t xml:space="preserve">Ref: QE-BIZ-QD-2025-0472</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QE-BIZ-QD-2025-0472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 from Date of Issue</w:t>
            </w:r>
          </w:p>
        </w:tc>
        <w:tc>
          <w:tcPr/>
          <w:p>
            <w:pPr>
              <w:pStyle w:val="Compact"/>
              <w:jc w:val="left"/>
            </w:pPr>
            <w:r>
              <w:t xml:space="preserve">Currency:</w:t>
            </w:r>
          </w:p>
        </w:tc>
        <w:tc>
          <w:tcPr/>
          <w:p>
            <w:pPr>
              <w:pStyle w:val="Compact"/>
              <w:jc w:val="left"/>
            </w:pPr>
            <w:r>
              <w:t xml:space="preserve">Qatari Riyal (QAR)</w:t>
            </w:r>
          </w:p>
        </w:tc>
      </w:tr>
      <w:tr>
        <w:tc>
          <w:tcPr/>
          <w:p>
            <w:pPr>
              <w:pStyle w:val="Compact"/>
              <w:jc w:val="left"/>
            </w:pPr>
            <w:r>
              <w:t xml:space="preserve">Service Provider:</w:t>
            </w:r>
          </w:p>
        </w:tc>
        <w:tc>
          <w:tcPr/>
          <w:p>
            <w:pPr>
              <w:pStyle w:val="Compact"/>
              <w:jc w:val="left"/>
            </w:pPr>
            <w:r>
              <w:t xml:space="preserve">Meridian Strategic Advisory LLC, Office 1204, Level 12, Doha Financial Centre, West Bay, Doha, Qatar</w:t>
            </w:r>
          </w:p>
        </w:tc>
        <w:tc>
          <w:tcPr/>
          <w:p>
            <w:pPr>
              <w:pStyle w:val="Compact"/>
              <w:jc w:val="left"/>
            </w:pPr>
            <w:r>
              <w:t xml:space="preserve">Contact:</w:t>
            </w:r>
          </w:p>
        </w:tc>
        <w:tc>
          <w:tcPr/>
          <w:p>
            <w:pPr>
              <w:pStyle w:val="Compact"/>
              <w:jc w:val="left"/>
            </w:pPr>
            <w:r>
              <w:t xml:space="preserve">consulting@meridianqa.com | +974 4455 6677</w:t>
            </w:r>
          </w:p>
        </w:tc>
      </w:tr>
      <w:tr>
        <w:tc>
          <w:tcPr/>
          <w:p>
            <w:pPr>
              <w:pStyle w:val="Compact"/>
              <w:jc w:val="left"/>
            </w:pPr>
            <w:r>
              <w:t xml:space="preserve">Client Name:</w:t>
            </w:r>
          </w:p>
        </w:tc>
        <w:tc>
          <w:tcPr/>
          <w:p>
            <w:pPr>
              <w:pStyle w:val="Compact"/>
              <w:jc w:val="left"/>
            </w:pPr>
            <w:r>
              <w:t xml:space="preserve">[Client Company Name]</w:t>
            </w:r>
          </w:p>
        </w:tc>
        <w:tc>
          <w:tcPr/>
          <w:p>
            <w:pPr>
              <w:pStyle w:val="Compact"/>
              <w:jc w:val="left"/>
            </w:pPr>
            <w:r>
              <w:t xml:space="preserve">Client Address:</w:t>
            </w:r>
          </w:p>
        </w:tc>
        <w:tc>
          <w:tcPr/>
          <w:p>
            <w:pPr>
              <w:pStyle w:val="Compact"/>
              <w:jc w:val="left"/>
            </w:pPr>
            <w:r>
              <w:t xml:space="preserve">[Client Address], Doha, Qatar</w:t>
            </w:r>
          </w:p>
        </w:tc>
      </w:tr>
      <w:tr>
        <w:tc>
          <w:tcPr/>
          <w:p>
            <w:pPr>
              <w:pStyle w:val="Compact"/>
              <w:jc w:val="left"/>
            </w:pPr>
            <w:r>
              <w:t xml:space="preserve">Project Title:</w:t>
            </w:r>
          </w:p>
        </w:tc>
        <w:tc>
          <w:tcPr/>
          <w:p>
            <w:pPr>
              <w:pStyle w:val="Compact"/>
              <w:jc w:val="left"/>
            </w:pPr>
            <w:r>
              <w:t xml:space="preserve">Comprehensive Business Consultant Engagement – Operational Strategy &amp; Market Expansion</w:t>
            </w:r>
          </w:p>
        </w:tc>
        <w:tc>
          <w:tcPr/>
          <w:p>
            <w:pPr>
              <w:pStyle w:val="Compact"/>
              <w:jc w:val="left"/>
            </w:pPr>
            <w:r>
              <w:t xml:space="preserve">Engagement Duration:</w:t>
            </w:r>
          </w:p>
        </w:tc>
        <w:tc>
          <w:tcPr/>
          <w:p>
            <w:pPr>
              <w:pStyle w:val="Compact"/>
              <w:jc w:val="left"/>
            </w:pPr>
            <w:r>
              <w:t xml:space="preserve">6 Months (January 2026 – June 2026)</w:t>
            </w:r>
          </w:p>
        </w:tc>
      </w:tr>
    </w:tbl>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formally issued by Meridian Strategic Advisory LLC to provide a detailed cost breakdown for the engagement of a senior</w:t>
      </w:r>
      <w:r>
        <w:t xml:space="preserve"> </w:t>
      </w:r>
      <w:r>
        <w:t xml:space="preserve">Business Consultant</w:t>
      </w:r>
      <w:r>
        <w:t xml:space="preserve"> </w:t>
      </w:r>
      <w:r>
        <w:t xml:space="preserve">to deliver strategic advisory services to the client's operations in</w:t>
      </w:r>
      <w:r>
        <w:t xml:space="preserve"> </w:t>
      </w:r>
      <w:r>
        <w:t xml:space="preserve">Qatar Doha</w:t>
      </w:r>
      <w:r>
        <w:t xml:space="preserve">. The scope of this engagement encompasses organizational restructuring, market entry strategy for the Gulf Cooperation Council (GCC) region, operational efficiency audits, and leadership development programmes tailored to the unique regulatory and commercial environment of Qatar Doha. This Quotation Estimate reflects our commitment to delivering measurable value while adhering to the highest professional standards expected in the Qatar Doha business landscape.</w:t>
      </w:r>
    </w:p>
    <w:bookmarkEnd w:id="21"/>
    <w:bookmarkStart w:id="22" w:name="X38c04614c6852dc42671939c78d168ce144be86"/>
    <w:p>
      <w:pPr>
        <w:pStyle w:val="Heading2"/>
      </w:pPr>
      <w:r>
        <w:t xml:space="preserve">2. Scope of Services – Business Consultant Engagement</w:t>
      </w:r>
    </w:p>
    <w:p>
      <w:pPr>
        <w:pStyle w:val="FirstParagraph"/>
      </w:pPr>
      <w:r>
        <w:t xml:space="preserve">The appointed Business Consultant will operate as a dedicated strategic partner embedded within the client's leadership team in Qatar Doha. The following deliverables and service lines are included in this Quotation Estimate: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Line / Deliverable</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Cost (QAR)</w:t>
            </w:r>
          </w:p>
        </w:tc>
      </w:tr>
      <w:tr>
        <w:tc>
          <w:tcPr/>
          <w:p>
            <w:pPr>
              <w:pStyle w:val="Compact"/>
              <w:jc w:val="left"/>
            </w:pPr>
            <w:r>
              <w:t xml:space="preserve">1</w:t>
            </w:r>
          </w:p>
        </w:tc>
        <w:tc>
          <w:tcPr/>
          <w:p>
            <w:pPr>
              <w:pStyle w:val="Compact"/>
              <w:jc w:val="left"/>
            </w:pPr>
            <w:r>
              <w:t xml:space="preserve">Strategic Business Planning &amp; Market Analysis</w:t>
            </w:r>
          </w:p>
        </w:tc>
        <w:tc>
          <w:tcPr/>
          <w:p>
            <w:pPr>
              <w:pStyle w:val="Compact"/>
              <w:jc w:val="left"/>
            </w:pPr>
            <w:r>
              <w:t xml:space="preserve">Comprehensive SWOT analysis, competitive benchmarking, and 5-year strategic roadmap for Qatar Doha operations</w:t>
            </w:r>
          </w:p>
        </w:tc>
        <w:tc>
          <w:tcPr/>
          <w:p>
            <w:pPr>
              <w:pStyle w:val="Compact"/>
              <w:jc w:val="left"/>
            </w:pPr>
            <w:r>
              <w:t xml:space="preserve">Months 1–2</w:t>
            </w:r>
          </w:p>
        </w:tc>
        <w:tc>
          <w:tcPr/>
          <w:p>
            <w:pPr>
              <w:pStyle w:val="Compact"/>
              <w:jc w:val="left"/>
            </w:pPr>
            <w:r>
              <w:t xml:space="preserve">QAR 85,000</w:t>
            </w:r>
          </w:p>
        </w:tc>
      </w:tr>
      <w:tr>
        <w:tc>
          <w:tcPr/>
          <w:p>
            <w:pPr>
              <w:pStyle w:val="Compact"/>
              <w:jc w:val="left"/>
            </w:pPr>
            <w:r>
              <w:t xml:space="preserve">2</w:t>
            </w:r>
          </w:p>
        </w:tc>
        <w:tc>
          <w:tcPr/>
          <w:p>
            <w:pPr>
              <w:pStyle w:val="Compact"/>
              <w:jc w:val="left"/>
            </w:pPr>
            <w:r>
              <w:t xml:space="preserve">Operational Efficiency Audit &amp; Process Redesign</w:t>
            </w:r>
          </w:p>
        </w:tc>
        <w:tc>
          <w:tcPr/>
          <w:p>
            <w:pPr>
              <w:pStyle w:val="Compact"/>
              <w:jc w:val="left"/>
            </w:pPr>
            <w:r>
              <w:t xml:space="preserve">End-to-end value chain assessment, lean process implementation, and KPI framework development</w:t>
            </w:r>
          </w:p>
        </w:tc>
        <w:tc>
          <w:tcPr/>
          <w:p>
            <w:pPr>
              <w:pStyle w:val="Compact"/>
              <w:jc w:val="left"/>
            </w:pPr>
            <w:r>
              <w:t xml:space="preserve">Months 2–3</w:t>
            </w:r>
          </w:p>
        </w:tc>
        <w:tc>
          <w:tcPr/>
          <w:p>
            <w:pPr>
              <w:pStyle w:val="Compact"/>
              <w:jc w:val="left"/>
            </w:pPr>
            <w:r>
              <w:t xml:space="preserve">QAR 72,000</w:t>
            </w:r>
          </w:p>
        </w:tc>
      </w:tr>
      <w:tr>
        <w:tc>
          <w:tcPr/>
          <w:p>
            <w:pPr>
              <w:pStyle w:val="Compact"/>
              <w:jc w:val="left"/>
            </w:pPr>
            <w:r>
              <w:t xml:space="preserve">3</w:t>
            </w:r>
          </w:p>
        </w:tc>
        <w:tc>
          <w:tcPr/>
          <w:p>
            <w:pPr>
              <w:pStyle w:val="Compact"/>
              <w:jc w:val="left"/>
            </w:pPr>
            <w:r>
              <w:t xml:space="preserve">Regulatory Compliance &amp; Licensing Advisory</w:t>
            </w:r>
          </w:p>
        </w:tc>
        <w:tc>
          <w:tcPr/>
          <w:p>
            <w:pPr>
              <w:pStyle w:val="Compact"/>
              <w:jc w:val="left"/>
            </w:pPr>
            <w:r>
              <w:t xml:space="preserve">Navigating Qatar Doha commercial regulations, QFC compliance, and free zone structuring</w:t>
            </w:r>
          </w:p>
        </w:tc>
        <w:tc>
          <w:tcPr/>
          <w:p>
            <w:pPr>
              <w:pStyle w:val="Compact"/>
              <w:jc w:val="left"/>
            </w:pPr>
            <w:r>
              <w:t xml:space="preserve">Months 3–4</w:t>
            </w:r>
          </w:p>
        </w:tc>
        <w:tc>
          <w:tcPr/>
          <w:p>
            <w:pPr>
              <w:pStyle w:val="Compact"/>
              <w:jc w:val="left"/>
            </w:pPr>
            <w:r>
              <w:t xml:space="preserve">QAR 48,000</w:t>
            </w:r>
          </w:p>
        </w:tc>
      </w:tr>
      <w:tr>
        <w:tc>
          <w:tcPr/>
          <w:p>
            <w:pPr>
              <w:pStyle w:val="Compact"/>
              <w:jc w:val="left"/>
            </w:pPr>
            <w:r>
              <w:t xml:space="preserve">4</w:t>
            </w:r>
          </w:p>
        </w:tc>
        <w:tc>
          <w:tcPr/>
          <w:p>
            <w:pPr>
              <w:pStyle w:val="Compact"/>
              <w:jc w:val="left"/>
            </w:pPr>
            <w:r>
              <w:t xml:space="preserve">Leadership Development &amp; Organizational Culture Programme</w:t>
            </w:r>
          </w:p>
        </w:tc>
        <w:tc>
          <w:tcPr/>
          <w:p>
            <w:pPr>
              <w:pStyle w:val="Compact"/>
              <w:jc w:val="left"/>
            </w:pPr>
            <w:r>
              <w:t xml:space="preserve">Executive coaching, team alignment workshops, and succession planning for Qatar Doha leadership</w:t>
            </w:r>
          </w:p>
        </w:tc>
        <w:tc>
          <w:tcPr/>
          <w:p>
            <w:pPr>
              <w:pStyle w:val="Compact"/>
              <w:jc w:val="left"/>
            </w:pPr>
            <w:r>
              <w:t xml:space="preserve">Months 4–5</w:t>
            </w:r>
          </w:p>
        </w:tc>
        <w:tc>
          <w:tcPr/>
          <w:p>
            <w:pPr>
              <w:pStyle w:val="Compact"/>
              <w:jc w:val="left"/>
            </w:pPr>
            <w:r>
              <w:t xml:space="preserve">QAR 55,000</w:t>
            </w:r>
          </w:p>
        </w:tc>
      </w:tr>
      <w:tr>
        <w:tc>
          <w:tcPr/>
          <w:p>
            <w:pPr>
              <w:pStyle w:val="Compact"/>
              <w:jc w:val="left"/>
            </w:pPr>
            <w:r>
              <w:t xml:space="preserve">5</w:t>
            </w:r>
          </w:p>
        </w:tc>
        <w:tc>
          <w:tcPr/>
          <w:p>
            <w:pPr>
              <w:pStyle w:val="Compact"/>
              <w:jc w:val="left"/>
            </w:pPr>
            <w:r>
              <w:t xml:space="preserve">Market Expansion Strategy – GCC &amp; MENA Region</w:t>
            </w:r>
          </w:p>
        </w:tc>
        <w:tc>
          <w:tcPr/>
          <w:p>
            <w:pPr>
              <w:pStyle w:val="Compact"/>
              <w:jc w:val="left"/>
            </w:pPr>
            <w:r>
              <w:t xml:space="preserve">Feasibility studies, partnership identification, and go-to-market execution plan beyond Qatar Doha</w:t>
            </w:r>
          </w:p>
        </w:tc>
        <w:tc>
          <w:tcPr/>
          <w:p>
            <w:pPr>
              <w:pStyle w:val="Compact"/>
              <w:jc w:val="left"/>
            </w:pPr>
            <w:r>
              <w:t xml:space="preserve">Months 5–6</w:t>
            </w:r>
          </w:p>
        </w:tc>
        <w:tc>
          <w:tcPr/>
          <w:p>
            <w:pPr>
              <w:pStyle w:val="Compact"/>
              <w:jc w:val="left"/>
            </w:pPr>
            <w:r>
              <w:t xml:space="preserve">QAR 68,000</w:t>
            </w:r>
          </w:p>
        </w:tc>
      </w:tr>
      <w:tr>
        <w:tc>
          <w:tcPr/>
          <w:p>
            <w:pPr>
              <w:pStyle w:val="Compact"/>
              <w:jc w:val="left"/>
            </w:pPr>
            <w:r>
              <w:t xml:space="preserve">6</w:t>
            </w:r>
          </w:p>
        </w:tc>
        <w:tc>
          <w:tcPr/>
          <w:p>
            <w:pPr>
              <w:pStyle w:val="Compact"/>
              <w:jc w:val="left"/>
            </w:pPr>
            <w:r>
              <w:t xml:space="preserve">Monthly Advisory Retainer &amp; On-Site Consultation</w:t>
            </w:r>
          </w:p>
        </w:tc>
        <w:tc>
          <w:tcPr/>
          <w:p>
            <w:pPr>
              <w:pStyle w:val="Compact"/>
              <w:jc w:val="left"/>
            </w:pPr>
            <w:r>
              <w:t xml:space="preserve">Bi-weekly on-site sessions in Doha, unlimited email/phone access, and monthly progress reporting</w:t>
            </w:r>
          </w:p>
        </w:tc>
        <w:tc>
          <w:tcPr/>
          <w:p>
            <w:pPr>
              <w:pStyle w:val="Compact"/>
              <w:jc w:val="left"/>
            </w:pPr>
            <w:r>
              <w:t xml:space="preserve">Months 1–6</w:t>
            </w:r>
          </w:p>
        </w:tc>
        <w:tc>
          <w:tcPr/>
          <w:p>
            <w:pPr>
              <w:pStyle w:val="Compact"/>
              <w:jc w:val="left"/>
            </w:pPr>
            <w:r>
              <w:t xml:space="preserve">QAR 96,000</w:t>
            </w:r>
          </w:p>
        </w:tc>
      </w:tr>
      <w:tr>
        <w:tc>
          <w:tcPr/>
          <w:p>
            <w:pPr>
              <w:pStyle w:val="Compact"/>
              <w:jc w:val="left"/>
            </w:pPr>
            <w:r>
              <w:t xml:space="preserve">7</w:t>
            </w:r>
          </w:p>
        </w:tc>
        <w:tc>
          <w:tcPr/>
          <w:p>
            <w:pPr>
              <w:pStyle w:val="Compact"/>
              <w:jc w:val="left"/>
            </w:pPr>
            <w:r>
              <w:t xml:space="preserve">Travel, Accommodation &amp; Local Logistics</w:t>
            </w:r>
          </w:p>
        </w:tc>
        <w:tc>
          <w:tcPr/>
          <w:p>
            <w:pPr>
              <w:pStyle w:val="Compact"/>
              <w:jc w:val="left"/>
            </w:pPr>
            <w:r>
              <w:t xml:space="preserve">Business-class travel to Qatar Doha, 5-star accommodation, and local transportation for the Business Consultant</w:t>
            </w:r>
          </w:p>
        </w:tc>
        <w:tc>
          <w:tcPr/>
          <w:p>
            <w:pPr>
              <w:pStyle w:val="Compact"/>
              <w:jc w:val="left"/>
            </w:pPr>
            <w:r>
              <w:t xml:space="preserve">Months 1–6</w:t>
            </w:r>
          </w:p>
        </w:tc>
        <w:tc>
          <w:tcPr/>
          <w:p>
            <w:pPr>
              <w:pStyle w:val="Compact"/>
              <w:jc w:val="left"/>
            </w:pPr>
            <w:r>
              <w:t xml:space="preserve">QAR 34,000</w:t>
            </w:r>
          </w:p>
        </w:tc>
      </w:tr>
      <w:tr>
        <w:tc>
          <w:tcPr/>
          <w:p>
            <w:pPr>
              <w:pStyle w:val="Compact"/>
              <w:jc w:val="left"/>
            </w:pPr>
            <w:r>
              <w:t xml:space="preserve">8</w:t>
            </w:r>
          </w:p>
        </w:tc>
        <w:tc>
          <w:tcPr/>
          <w:p>
            <w:pPr>
              <w:pStyle w:val="Compact"/>
              <w:jc w:val="left"/>
            </w:pPr>
            <w:r>
              <w:t xml:space="preserve">Final Report, Knowledge Transfer &amp; Handover</w:t>
            </w:r>
          </w:p>
        </w:tc>
        <w:tc>
          <w:tcPr/>
          <w:p>
            <w:pPr>
              <w:pStyle w:val="Compact"/>
              <w:jc w:val="left"/>
            </w:pPr>
            <w:r>
              <w:t xml:space="preserve">Comprehensive 200-page strategic report, board presentation, and 30-day post-engagement support</w:t>
            </w:r>
          </w:p>
        </w:tc>
        <w:tc>
          <w:tcPr/>
          <w:p>
            <w:pPr>
              <w:pStyle w:val="Compact"/>
              <w:jc w:val="left"/>
            </w:pPr>
            <w:r>
              <w:t xml:space="preserve">Month 6</w:t>
            </w:r>
          </w:p>
        </w:tc>
        <w:tc>
          <w:tcPr/>
          <w:p>
            <w:pPr>
              <w:pStyle w:val="Compact"/>
              <w:jc w:val="left"/>
            </w:pPr>
            <w:r>
              <w:t xml:space="preserve">QAR 22,000</w:t>
            </w:r>
          </w:p>
        </w:tc>
      </w:tr>
      <w:tr>
        <w:tc>
          <w:tcPr>
            <w:gridSpan w:val="4"/>
          </w:tcPr>
          <w:p>
            <w:pPr>
              <w:pStyle w:val="Compact"/>
              <w:jc w:val="right"/>
            </w:pPr>
            <w:r>
              <w:t xml:space="preserve">TOTAL ESTIMATED COST (QAR)</w:t>
            </w:r>
          </w:p>
        </w:tc>
        <w:tc>
          <w:tcPr/>
          <w:p>
            <w:pPr>
              <w:pStyle w:val="Compact"/>
              <w:jc w:val="left"/>
            </w:pPr>
            <w:r>
              <w:t xml:space="preserve">QAR 480,000</w:t>
            </w:r>
          </w:p>
        </w:tc>
      </w:tr>
      <w:tr>
        <w:tc>
          <w:tcPr>
            <w:gridSpan w:val="4"/>
          </w:tcPr>
          <w:p>
            <w:pPr>
              <w:pStyle w:val="Compact"/>
              <w:jc w:val="right"/>
            </w:pPr>
            <w:r>
              <w:t xml:space="preserve">VAT (5% – Qatar Standard Rate)</w:t>
            </w:r>
          </w:p>
        </w:tc>
        <w:tc>
          <w:tcPr/>
          <w:p>
            <w:pPr>
              <w:pStyle w:val="Compact"/>
              <w:jc w:val="left"/>
            </w:pPr>
            <w:r>
              <w:t xml:space="preserve">QAR 24,000</w:t>
            </w:r>
          </w:p>
        </w:tc>
      </w:tr>
      <w:tr>
        <w:tc>
          <w:tcPr>
            <w:gridSpan w:val="4"/>
          </w:tcPr>
          <w:p>
            <w:pPr>
              <w:pStyle w:val="Compact"/>
              <w:jc w:val="right"/>
            </w:pPr>
            <w:r>
              <w:t xml:space="preserve">GRAND TOTAL (QAR)</w:t>
            </w:r>
          </w:p>
        </w:tc>
        <w:tc>
          <w:tcPr/>
          <w:p>
            <w:pPr>
              <w:pStyle w:val="Compact"/>
              <w:jc w:val="left"/>
            </w:pPr>
            <w:r>
              <w:t xml:space="preserve">QAR 504,000</w:t>
            </w:r>
          </w:p>
        </w:tc>
      </w:tr>
    </w:tbl>
    <w:bookmarkEnd w:id="22"/>
    <w:bookmarkStart w:id="23" w:name="payment-schedule"/>
    <w:p>
      <w:pPr>
        <w:pStyle w:val="Heading2"/>
      </w:pPr>
      <w:r>
        <w:t xml:space="preserve">3. Payment Schedule</w:t>
      </w:r>
    </w:p>
    <w:p>
      <w:pPr>
        <w:pStyle w:val="FirstParagraph"/>
      </w:pPr>
      <w:r>
        <w:t xml:space="preserve">In accordance with standard commercial practice in Qatar Doha, the total amount specified in this Quotation Estimate shall be disbursed as follows: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(QAR)</w:t>
            </w:r>
          </w:p>
        </w:tc>
        <w:tc>
          <w:tcPr/>
          <w:p>
            <w:pPr>
              <w:pStyle w:val="Compact"/>
              <w:jc w:val="left"/>
            </w:pPr>
            <w:r>
              <w:t xml:space="preserve">Due Date</w:t>
            </w:r>
          </w:p>
        </w:tc>
      </w:tr>
      <w:tr>
        <w:tc>
          <w:tcPr/>
          <w:p>
            <w:pPr>
              <w:pStyle w:val="Compact"/>
              <w:jc w:val="left"/>
            </w:pPr>
            <w:r>
              <w:t xml:space="preserve">Contract Execution &amp; Mobilization</w:t>
            </w:r>
          </w:p>
        </w:tc>
        <w:tc>
          <w:tcPr/>
          <w:p>
            <w:pPr>
              <w:pStyle w:val="Compact"/>
              <w:jc w:val="left"/>
            </w:pPr>
            <w:r>
              <w:t xml:space="preserve">25%</w:t>
            </w:r>
          </w:p>
        </w:tc>
        <w:tc>
          <w:tcPr/>
          <w:p>
            <w:pPr>
              <w:pStyle w:val="Compact"/>
              <w:jc w:val="left"/>
            </w:pPr>
            <w:r>
              <w:t xml:space="preserve">QAR 126,000</w:t>
            </w:r>
          </w:p>
        </w:tc>
        <w:tc>
          <w:tcPr/>
          <w:p>
            <w:pPr>
              <w:pStyle w:val="Compact"/>
              <w:jc w:val="left"/>
            </w:pPr>
            <w:r>
              <w:t xml:space="preserve">Within 7 days of signing</w:t>
            </w:r>
          </w:p>
        </w:tc>
      </w:tr>
      <w:tr>
        <w:tc>
          <w:tcPr/>
          <w:p>
            <w:pPr>
              <w:pStyle w:val="Compact"/>
              <w:jc w:val="left"/>
            </w:pPr>
            <w:r>
              <w:t xml:space="preserve">Completion of Months 2 &amp; 3 Deliverables</w:t>
            </w:r>
          </w:p>
        </w:tc>
        <w:tc>
          <w:tcPr/>
          <w:p>
            <w:pPr>
              <w:pStyle w:val="Compact"/>
              <w:jc w:val="left"/>
            </w:pPr>
            <w:r>
              <w:t xml:space="preserve">30%</w:t>
            </w:r>
          </w:p>
        </w:tc>
        <w:tc>
          <w:tcPr/>
          <w:p>
            <w:pPr>
              <w:pStyle w:val="Compact"/>
              <w:jc w:val="left"/>
            </w:pPr>
            <w:r>
              <w:t xml:space="preserve">QAR 151,200</w:t>
            </w:r>
          </w:p>
        </w:tc>
        <w:tc>
          <w:tcPr/>
          <w:p>
            <w:pPr>
              <w:pStyle w:val="Compact"/>
              <w:jc w:val="left"/>
            </w:pPr>
            <w:r>
              <w:t xml:space="preserve">Upon milestone approval</w:t>
            </w:r>
          </w:p>
        </w:tc>
      </w:tr>
      <w:tr>
        <w:tc>
          <w:tcPr/>
          <w:p>
            <w:pPr>
              <w:pStyle w:val="Compact"/>
              <w:jc w:val="left"/>
            </w:pPr>
            <w:r>
              <w:t xml:space="preserve">Completion of Months 4 &amp; 5 Deliverables</w:t>
            </w:r>
          </w:p>
        </w:tc>
        <w:tc>
          <w:tcPr/>
          <w:p>
            <w:pPr>
              <w:pStyle w:val="Compact"/>
              <w:jc w:val="left"/>
            </w:pPr>
            <w:r>
              <w:t xml:space="preserve">25%</w:t>
            </w:r>
          </w:p>
        </w:tc>
        <w:tc>
          <w:tcPr/>
          <w:p>
            <w:pPr>
              <w:pStyle w:val="Compact"/>
              <w:jc w:val="left"/>
            </w:pPr>
            <w:r>
              <w:t xml:space="preserve">QAR 126,000</w:t>
            </w:r>
          </w:p>
        </w:tc>
        <w:tc>
          <w:tcPr/>
          <w:p>
            <w:pPr>
              <w:pStyle w:val="Compact"/>
              <w:jc w:val="left"/>
            </w:pPr>
            <w:r>
              <w:t xml:space="preserve">Upon milestone approval</w:t>
            </w:r>
          </w:p>
        </w:tc>
      </w:tr>
      <w:tr>
        <w:tc>
          <w:tcPr/>
          <w:p>
            <w:pPr>
              <w:pStyle w:val="Compact"/>
              <w:jc w:val="left"/>
            </w:pPr>
            <w:r>
              <w:t xml:space="preserve">Final Handover &amp; Post-Engagement Support</w:t>
            </w:r>
          </w:p>
        </w:tc>
        <w:tc>
          <w:tcPr/>
          <w:p>
            <w:pPr>
              <w:pStyle w:val="Compact"/>
              <w:jc w:val="left"/>
            </w:pPr>
            <w:r>
              <w:t xml:space="preserve">20%</w:t>
            </w:r>
          </w:p>
        </w:tc>
        <w:tc>
          <w:tcPr/>
          <w:p>
            <w:pPr>
              <w:pStyle w:val="Compact"/>
              <w:jc w:val="left"/>
            </w:pPr>
            <w:r>
              <w:t xml:space="preserve">QAR 100,800</w:t>
            </w:r>
          </w:p>
        </w:tc>
        <w:tc>
          <w:tcPr/>
          <w:p>
            <w:pPr>
              <w:pStyle w:val="Compact"/>
              <w:jc w:val="left"/>
            </w:pPr>
            <w:r>
              <w:t xml:space="preserve">Within 14 days of final report</w:t>
            </w:r>
          </w:p>
        </w:tc>
      </w:tr>
    </w:tbl>
    <w:bookmarkEnd w:id="23"/>
    <w:bookmarkStart w:id="24" w:name="terms-and-conditions"/>
    <w:p>
      <w:pPr>
        <w:pStyle w:val="Heading2"/>
      </w:pPr>
      <w:r>
        <w:t xml:space="preserve">4. Terms and Conditions</w:t>
      </w:r>
    </w:p>
    <w:p>
      <w:pPr>
        <w:numPr>
          <w:ilvl w:val="0"/>
          <w:numId w:val="1001"/>
        </w:numPr>
        <w:pStyle w:val="Compact"/>
      </w:pPr>
      <w:r>
        <w:t xml:space="preserve">This Quotation Estimate is valid for thirty (30) calendar days from the date of issue. Beyond this period, pricing may be subject to revision based on market conditions in Qatar Doha.</w:t>
      </w:r>
    </w:p>
    <w:p>
      <w:pPr>
        <w:numPr>
          <w:ilvl w:val="0"/>
          <w:numId w:val="1001"/>
        </w:numPr>
        <w:pStyle w:val="Compact"/>
      </w:pPr>
      <w:r>
        <w:t xml:space="preserve">All fees quoted are exclusive of VAT at the Qatar standard rate of 5%, which shall be applied as per the Qatar Tax Authority regulations.</w:t>
      </w:r>
    </w:p>
    <w:p>
      <w:pPr>
        <w:numPr>
          <w:ilvl w:val="0"/>
          <w:numId w:val="1001"/>
        </w:numPr>
        <w:pStyle w:val="Compact"/>
      </w:pPr>
      <w:r>
        <w:t xml:space="preserve">The Business Consultant shall maintain strict confidentiality regarding all client data, trade secrets, and proprietary information encountered during the engagement in Qatar Doha.</w:t>
      </w:r>
    </w:p>
    <w:p>
      <w:pPr>
        <w:numPr>
          <w:ilvl w:val="0"/>
          <w:numId w:val="1001"/>
        </w:numPr>
        <w:pStyle w:val="Compact"/>
      </w:pPr>
      <w:r>
        <w:t xml:space="preserve">Any scope changes or additional deliverables beyond those outlined in this Quotation Estimate shall be subject to a written change order and additional cost assessment.</w:t>
      </w:r>
    </w:p>
    <w:p>
      <w:pPr>
        <w:numPr>
          <w:ilvl w:val="0"/>
          <w:numId w:val="1001"/>
        </w:numPr>
        <w:pStyle w:val="Compact"/>
      </w:pPr>
      <w:r>
        <w:t xml:space="preserve">The client agrees to provide reasonable access to facilities, personnel, and documentation in Qatar Doha to enable the Business Consultant to perform the agreed services effectively.</w:t>
      </w:r>
    </w:p>
    <w:p>
      <w:pPr>
        <w:numPr>
          <w:ilvl w:val="0"/>
          <w:numId w:val="1001"/>
        </w:numPr>
        <w:pStyle w:val="Compact"/>
      </w:pPr>
      <w:r>
        <w:t xml:space="preserve">Disputes arising from this engagement shall be resolved through arbitration in Doha, Qatar, in accordance with the Qatar Arbitration Law, with proceedings conducted in English.</w:t>
      </w:r>
    </w:p>
    <w:p>
      <w:pPr>
        <w:numPr>
          <w:ilvl w:val="0"/>
          <w:numId w:val="1001"/>
        </w:numPr>
        <w:pStyle w:val="Compact"/>
      </w:pPr>
      <w:r>
        <w:t xml:space="preserve">This Quotation Estimate does not constitute a binding contract until a formal Service Agreement is executed by both parties.</w:t>
      </w:r>
    </w:p>
    <w:p>
      <w:pPr>
        <w:numPr>
          <w:ilvl w:val="0"/>
          <w:numId w:val="1001"/>
        </w:numPr>
        <w:pStyle w:val="Compact"/>
      </w:pPr>
      <w:r>
        <w:t xml:space="preserve">All intellectual property generated specifically for the client during this engagement shall transfer to the client upon full payment of the amounts specified herein.</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and agrees to the terms, scope, and pricing outlined for the Business Consultant engagement in Qatar Doha. This acceptance does not constitute a final contract but serves as a formal expression of intent to proceed with the engagement.</w:t>
      </w:r>
    </w:p>
    <w:p>
      <w:pPr>
        <w:pStyle w:val="BodyText"/>
      </w:pPr>
      <w:r>
        <w:t xml:space="preserve">For Meridian Strategic Advisory LLC</w:t>
      </w:r>
    </w:p>
    <w:p>
      <w:pPr>
        <w:pStyle w:val="BodyText"/>
      </w:pPr>
      <w:r>
        <w:t xml:space="preserve">Name: Ahmed Al-Rashidi</w:t>
      </w:r>
      <w:r>
        <w:br/>
      </w:r>
      <w:r>
        <w:t xml:space="preserve">Title: Managing Director</w:t>
      </w:r>
      <w:r>
        <w:br/>
      </w:r>
      <w:r>
        <w:t xml:space="preserve">Signature &amp; Date: _________________________</w:t>
      </w:r>
    </w:p>
    <w:p>
      <w:pPr>
        <w:pStyle w:val="BodyText"/>
      </w:pPr>
      <w:r>
        <w:t xml:space="preserve">For the Client</w:t>
      </w:r>
    </w:p>
    <w:p>
      <w:pPr>
        <w:pStyle w:val="BodyText"/>
      </w:pPr>
      <w:r>
        <w:t xml:space="preserve">Name: _________________________</w:t>
      </w:r>
      <w:r>
        <w:br/>
      </w:r>
      <w:r>
        <w:t xml:space="preserve">Title: _________________________</w:t>
      </w:r>
      <w:r>
        <w:br/>
      </w:r>
      <w:r>
        <w:t xml:space="preserve">Signature &amp; Date: _________________________</w:t>
      </w:r>
    </w:p>
    <w:p>
      <w:pPr>
        <w:pStyle w:val="BodyText"/>
      </w:pPr>
      <w:r>
        <w:rPr>
          <w:bCs/>
          <w:b/>
        </w:rPr>
        <w:t xml:space="preserve">Note:</w:t>
      </w:r>
      <w:r>
        <w:t xml:space="preserve"> </w:t>
      </w:r>
      <w:r>
        <w:t xml:space="preserve">This Quotation Estimate has been prepared specifically for the client's operations in Qatar Doha and reflects current market rates for Business Consultant services as of June 2025. All figures are in Qatari Riyal (QAR). For any clarifications or amendments to this Quotation Estimate, please contact our Doha office directly at +974 4455 6677 or consulting@meridianqa.com.</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Business Consultant - Qatar Doha</dc:title>
  <dc:creator/>
  <dc:language>en</dc:language>
  <cp:keywords/>
  <dcterms:created xsi:type="dcterms:W3CDTF">2026-10-10T01:06:45Z</dcterms:created>
  <dcterms:modified xsi:type="dcterms:W3CDTF">2026-10-10T01:06:45Z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