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within the Russia Moscow metropolitan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Andrei Volkov, Senior Business Consultant, Meridian Advisory Group LLC</w:t>
            </w:r>
          </w:p>
        </w:tc>
      </w:tr>
      <w:tr>
        <w:tc>
          <w:tcPr/>
          <w:p>
            <w:pPr>
              <w:pStyle w:val="Compact"/>
              <w:jc w:val="left"/>
            </w:pPr>
            <w:r>
              <w:t xml:space="preserve">Prepared For</w:t>
            </w:r>
          </w:p>
        </w:tc>
        <w:tc>
          <w:tcPr/>
          <w:p>
            <w:pPr>
              <w:pStyle w:val="Compact"/>
              <w:jc w:val="left"/>
            </w:pPr>
            <w:r>
              <w:t xml:space="preserve">[Client Name / Company Name], Moscow, Russia</w:t>
            </w:r>
          </w:p>
        </w:tc>
      </w:tr>
      <w:tr>
        <w:tc>
          <w:tcPr/>
          <w:p>
            <w:pPr>
              <w:pStyle w:val="Compact"/>
              <w:jc w:val="left"/>
            </w:pPr>
            <w:r>
              <w:t xml:space="preserve">Service Location</w:t>
            </w:r>
          </w:p>
        </w:tc>
        <w:tc>
          <w:tcPr/>
          <w:p>
            <w:pPr>
              <w:pStyle w:val="Compact"/>
              <w:jc w:val="left"/>
            </w:pPr>
            <w:r>
              <w:t xml:space="preserve">Russia Moscow – Central Business District (CBD), Tverskaya Street 12, 101000</w:t>
            </w:r>
          </w:p>
        </w:tc>
      </w:tr>
      <w:tr>
        <w:tc>
          <w:tcPr/>
          <w:p>
            <w:pPr>
              <w:pStyle w:val="Compact"/>
              <w:jc w:val="left"/>
            </w:pPr>
            <w:r>
              <w:t xml:space="preserve">Currency</w:t>
            </w:r>
          </w:p>
        </w:tc>
        <w:tc>
          <w:tcPr/>
          <w:p>
            <w:pPr>
              <w:pStyle w:val="Compact"/>
              <w:jc w:val="left"/>
            </w:pPr>
            <w:r>
              <w:t xml:space="preserve">Russian Ruble (RUB) / US Dollar (USD) – dual pricing available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Advisory Group LLC to provide a comprehensive, itemized breakdown of professional fees, expenses, and deliverables associated with the engagement of a Business Consultant to support the client's strategic, operational, and financial objectives within the Russia Moscow market. This document serves as a formal proposal and does not constitute a binding contract until countersigned by both parties. All pricing reflects the current economic conditions in Russia Moscow, including applicable VAT (20%) and local regulatory compliance costs.</w:t>
      </w:r>
    </w:p>
    <w:bookmarkEnd w:id="21"/>
    <w:bookmarkStart w:id="22" w:name="scope-of-business-consultant-services"/>
    <w:p>
      <w:pPr>
        <w:pStyle w:val="Heading2"/>
      </w:pPr>
      <w:r>
        <w:t xml:space="preserve">2. Scope of Business Consultant Services</w:t>
      </w:r>
    </w:p>
    <w:p>
      <w:pPr>
        <w:pStyle w:val="FirstParagraph"/>
      </w:pPr>
      <w:r>
        <w:t xml:space="preserve">The Business Consultant engagement encompasses the following core service areas tailored to the unique regulatory, cultural, and competitive landscape of Russia Moscow:</w:t>
      </w:r>
    </w:p>
    <w:p>
      <w:pPr>
        <w:numPr>
          <w:ilvl w:val="0"/>
          <w:numId w:val="1001"/>
        </w:numPr>
        <w:pStyle w:val="Compact"/>
      </w:pPr>
      <w:r>
        <w:rPr>
          <w:bCs/>
          <w:b/>
        </w:rPr>
        <w:t xml:space="preserve">Strategic Planning &amp; Market Entry Analysis:</w:t>
      </w:r>
      <w:r>
        <w:t xml:space="preserve"> </w:t>
      </w:r>
      <w:r>
        <w:t xml:space="preserve">Development of a five-year strategic roadmap, competitive benchmarking against key players in the Russia Moscow business ecosystem, and identification of growth opportunities in emerging sectors.</w:t>
      </w:r>
    </w:p>
    <w:p>
      <w:pPr>
        <w:numPr>
          <w:ilvl w:val="0"/>
          <w:numId w:val="1001"/>
        </w:numPr>
        <w:pStyle w:val="Compact"/>
      </w:pPr>
      <w:r>
        <w:rPr>
          <w:bCs/>
          <w:b/>
        </w:rPr>
        <w:t xml:space="preserve">Operational Efficiency Review:</w:t>
      </w:r>
      <w:r>
        <w:t xml:space="preserve"> </w:t>
      </w:r>
      <w:r>
        <w:t xml:space="preserve">End-to-end process mapping, lean methodology implementation, and supply chain optimization for the client's Moscow-based operations.</w:t>
      </w:r>
    </w:p>
    <w:p>
      <w:pPr>
        <w:numPr>
          <w:ilvl w:val="0"/>
          <w:numId w:val="1001"/>
        </w:numPr>
        <w:pStyle w:val="Compact"/>
      </w:pPr>
      <w:r>
        <w:rPr>
          <w:bCs/>
          <w:b/>
        </w:rPr>
        <w:t xml:space="preserve">Financial Modeling &amp; Forecasting:</w:t>
      </w:r>
      <w:r>
        <w:t xml:space="preserve"> </w:t>
      </w:r>
      <w:r>
        <w:t xml:space="preserve">Construction of detailed financial models, cash-flow projections, and sensitivity analyses compliant with Russian accounting standards (RAS) and IFRS.</w:t>
      </w:r>
    </w:p>
    <w:p>
      <w:pPr>
        <w:numPr>
          <w:ilvl w:val="0"/>
          <w:numId w:val="1001"/>
        </w:numPr>
        <w:pStyle w:val="Compact"/>
      </w:pPr>
      <w:r>
        <w:rPr>
          <w:bCs/>
          <w:b/>
        </w:rPr>
        <w:t xml:space="preserve">Regulatory &amp; Compliance Advisory:</w:t>
      </w:r>
      <w:r>
        <w:t xml:space="preserve"> </w:t>
      </w:r>
      <w:r>
        <w:t xml:space="preserve">Guidance on federal and Moscow municipal regulations, tax optimization within the Russia Moscow jurisdiction, and anti-corruption compliance under Russian Federal Law No. 273-FZ.</w:t>
      </w:r>
    </w:p>
    <w:p>
      <w:pPr>
        <w:numPr>
          <w:ilvl w:val="0"/>
          <w:numId w:val="1001"/>
        </w:numPr>
        <w:pStyle w:val="Compact"/>
      </w:pPr>
      <w:r>
        <w:rPr>
          <w:bCs/>
          <w:b/>
        </w:rPr>
        <w:t xml:space="preserve">Organizational Development:</w:t>
      </w:r>
      <w:r>
        <w:t xml:space="preserve"> </w:t>
      </w:r>
      <w:r>
        <w:t xml:space="preserve">Leadership assessment, talent acquisition strategy, and change management frameworks adapted to the Russia Moscow workforce environment.</w:t>
      </w:r>
    </w:p>
    <w:p>
      <w:pPr>
        <w:numPr>
          <w:ilvl w:val="0"/>
          <w:numId w:val="1001"/>
        </w:numPr>
        <w:pStyle w:val="Compact"/>
      </w:pPr>
      <w:r>
        <w:rPr>
          <w:bCs/>
          <w:b/>
        </w:rPr>
        <w:t xml:space="preserve">Digital Transformation Roadmap:</w:t>
      </w:r>
      <w:r>
        <w:t xml:space="preserve"> </w:t>
      </w:r>
      <w:r>
        <w:t xml:space="preserve">Technology stack assessment, ERP implementation planning, and data governance strategy for the client's Moscow headquarters.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Business Consultant – Senior Partner (Strategic Planning &amp; Market Analysis)</w:t>
            </w:r>
          </w:p>
        </w:tc>
        <w:tc>
          <w:tcPr/>
          <w:p>
            <w:pPr>
              <w:pStyle w:val="Compact"/>
              <w:jc w:val="left"/>
            </w:pPr>
            <w:r>
              <w:t xml:space="preserve">40 hours</w:t>
            </w:r>
          </w:p>
        </w:tc>
        <w:tc>
          <w:tcPr/>
          <w:p>
            <w:pPr>
              <w:pStyle w:val="Compact"/>
              <w:jc w:val="left"/>
            </w:pPr>
            <w:r>
              <w:t xml:space="preserve">12,000 / hr</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Business Consultant – Lead Analyst (Operational Efficiency Review)</w:t>
            </w:r>
          </w:p>
        </w:tc>
        <w:tc>
          <w:tcPr/>
          <w:p>
            <w:pPr>
              <w:pStyle w:val="Compact"/>
              <w:jc w:val="left"/>
            </w:pPr>
            <w:r>
              <w:t xml:space="preserve">80 hours</w:t>
            </w:r>
          </w:p>
        </w:tc>
        <w:tc>
          <w:tcPr/>
          <w:p>
            <w:pPr>
              <w:pStyle w:val="Compact"/>
              <w:jc w:val="left"/>
            </w:pPr>
            <w:r>
              <w:t xml:space="preserve">8,500 / hr</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Financial Modeling &amp; Forecasting (Specialist Team of 2)</w:t>
            </w:r>
          </w:p>
        </w:tc>
        <w:tc>
          <w:tcPr/>
          <w:p>
            <w:pPr>
              <w:pStyle w:val="Compact"/>
              <w:jc w:val="left"/>
            </w:pPr>
            <w:r>
              <w:t xml:space="preserve">60 hours</w:t>
            </w:r>
          </w:p>
        </w:tc>
        <w:tc>
          <w:tcPr/>
          <w:p>
            <w:pPr>
              <w:pStyle w:val="Compact"/>
              <w:jc w:val="left"/>
            </w:pPr>
            <w:r>
              <w:t xml:space="preserve">7,000 / hr</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Regulatory &amp; Compliance Advisory (Russia Moscow jurisdiction)</w:t>
            </w:r>
          </w:p>
        </w:tc>
        <w:tc>
          <w:tcPr/>
          <w:p>
            <w:pPr>
              <w:pStyle w:val="Compact"/>
              <w:jc w:val="left"/>
            </w:pPr>
            <w:r>
              <w:t xml:space="preserve">30 hours</w:t>
            </w:r>
          </w:p>
        </w:tc>
        <w:tc>
          <w:tcPr/>
          <w:p>
            <w:pPr>
              <w:pStyle w:val="Compact"/>
              <w:jc w:val="left"/>
            </w:pPr>
            <w:r>
              <w:t xml:space="preserve">10,000 / hr</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Organizational Development &amp; Change Management Workshop</w:t>
            </w:r>
          </w:p>
        </w:tc>
        <w:tc>
          <w:tcPr/>
          <w:p>
            <w:pPr>
              <w:pStyle w:val="Compact"/>
              <w:jc w:val="left"/>
            </w:pPr>
            <w:r>
              <w:t xml:space="preserve">2 days (16 hrs)</w:t>
            </w:r>
          </w:p>
        </w:tc>
        <w:tc>
          <w:tcPr/>
          <w:p>
            <w:pPr>
              <w:pStyle w:val="Compact"/>
              <w:jc w:val="left"/>
            </w:pPr>
            <w:r>
              <w:t xml:space="preserve">9,500 / hr</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Digital Transformation Roadmap &amp; ERP Assessment</w:t>
            </w:r>
          </w:p>
        </w:tc>
        <w:tc>
          <w:tcPr/>
          <w:p>
            <w:pPr>
              <w:pStyle w:val="Compact"/>
              <w:jc w:val="left"/>
            </w:pPr>
            <w:r>
              <w:t xml:space="preserve">50 hours</w:t>
            </w:r>
          </w:p>
        </w:tc>
        <w:tc>
          <w:tcPr/>
          <w:p>
            <w:pPr>
              <w:pStyle w:val="Compact"/>
              <w:jc w:val="left"/>
            </w:pPr>
            <w:r>
              <w:t xml:space="preserve">9,000 / hr</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Accommodation &amp; Local Logistics within Russia Moscow</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Reporting, Documentation &amp; Final Presentation Package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90,000</w:t>
            </w:r>
          </w:p>
        </w:tc>
      </w:tr>
      <w:tr>
        <w:tc>
          <w:tcPr>
            <w:gridSpan w:val="4"/>
          </w:tcPr>
          <w:p>
            <w:pPr>
              <w:pStyle w:val="Compact"/>
              <w:jc w:val="left"/>
            </w:pPr>
            <w:r>
              <w:t xml:space="preserve">Subtotal (excl. VAT)</w:t>
            </w:r>
          </w:p>
        </w:tc>
        <w:tc>
          <w:tcPr/>
          <w:p>
            <w:pPr>
              <w:pStyle w:val="Compact"/>
              <w:jc w:val="left"/>
            </w:pPr>
            <w:r>
              <w:t xml:space="preserve">3,112,000</w:t>
            </w:r>
          </w:p>
        </w:tc>
      </w:tr>
      <w:tr>
        <w:tc>
          <w:tcPr>
            <w:gridSpan w:val="4"/>
          </w:tcPr>
          <w:p>
            <w:pPr>
              <w:pStyle w:val="Compact"/>
              <w:jc w:val="left"/>
            </w:pPr>
            <w:r>
              <w:t xml:space="preserve">VAT (20%) – Russia Moscow</w:t>
            </w:r>
          </w:p>
        </w:tc>
        <w:tc>
          <w:tcPr/>
          <w:p>
            <w:pPr>
              <w:pStyle w:val="Compact"/>
              <w:jc w:val="left"/>
            </w:pPr>
            <w:r>
              <w:t xml:space="preserve">622,400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3,734,400 RUB</w:t>
            </w:r>
          </w:p>
        </w:tc>
      </w:tr>
    </w:tbl>
    <w:bookmarkEnd w:id="23"/>
    <w:bookmarkStart w:id="24" w:name="payment-schedule"/>
    <w:p>
      <w:pPr>
        <w:pStyle w:val="Heading2"/>
      </w:pPr>
      <w:r>
        <w:t xml:space="preserve">4. Payment Schedule</w:t>
      </w:r>
    </w:p>
    <w:p>
      <w:pPr>
        <w:pStyle w:val="FirstParagraph"/>
      </w:pPr>
      <w:r>
        <w:t xml:space="preserve">In accordance with standard commercial practice in Russia Moscow, the total Quotation Estimate amount shall be disbursed as follows:</w:t>
      </w:r>
    </w:p>
    <w:p>
      <w:pPr>
        <w:numPr>
          <w:ilvl w:val="0"/>
          <w:numId w:val="1002"/>
        </w:numPr>
        <w:pStyle w:val="Compact"/>
      </w:pPr>
      <w:r>
        <w:rPr>
          <w:bCs/>
          <w:b/>
        </w:rPr>
        <w:t xml:space="preserve">Advance Payment (30%):</w:t>
      </w:r>
      <w:r>
        <w:t xml:space="preserve"> </w:t>
      </w:r>
      <w:r>
        <w:t xml:space="preserve">1,120,320 RUB – due within 5 business days of contract execution.</w:t>
      </w:r>
    </w:p>
    <w:p>
      <w:pPr>
        <w:numPr>
          <w:ilvl w:val="0"/>
          <w:numId w:val="1002"/>
        </w:numPr>
        <w:pStyle w:val="Compact"/>
      </w:pPr>
      <w:r>
        <w:rPr>
          <w:bCs/>
          <w:b/>
        </w:rPr>
        <w:t xml:space="preserve">Milestone Payment (40%):</w:t>
      </w:r>
      <w:r>
        <w:t xml:space="preserve"> </w:t>
      </w:r>
      <w:r>
        <w:t xml:space="preserve">1,493,760 RUB – due upon delivery of the Operational Efficiency Review and Financial Model (approximately Week 6).</w:t>
      </w:r>
    </w:p>
    <w:p>
      <w:pPr>
        <w:numPr>
          <w:ilvl w:val="0"/>
          <w:numId w:val="1002"/>
        </w:numPr>
        <w:pStyle w:val="Compact"/>
      </w:pPr>
      <w:r>
        <w:rPr>
          <w:bCs/>
          <w:b/>
        </w:rPr>
        <w:t xml:space="preserve">Final Payment (30%):</w:t>
      </w:r>
      <w:r>
        <w:t xml:space="preserve"> </w:t>
      </w:r>
      <w:r>
        <w:t xml:space="preserve">1,120,320 RUB – due upon acceptance of the final presentation package and project closeout (approximately Week 12).</w:t>
      </w:r>
    </w:p>
    <w:p>
      <w:pPr>
        <w:pStyle w:val="FirstParagraph"/>
      </w:pPr>
      <w:r>
        <w:t xml:space="preserve">All payments shall be made via bank transfer to the account of Meridian Advisory Group LLC, Moscow, Russia. Invoices will be issued in Russian Rubles in compliance with the Federal Tax Service of the Russian Federation requirements.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the expiry date, all rates and availability of the Business Consultant team are subject to revision.</w:t>
      </w:r>
    </w:p>
    <w:p>
      <w:pPr>
        <w:numPr>
          <w:ilvl w:val="0"/>
          <w:numId w:val="1003"/>
        </w:numPr>
        <w:pStyle w:val="Compact"/>
      </w:pPr>
      <w:r>
        <w:t xml:space="preserve">The Business Consultant and the client shall execute a separate Master Services Agreement (MSA) and Statement of Work (SOW) prior to the commencement of any services. This Quotation Estimate does not, by itself, create a contractual obligation.</w:t>
      </w:r>
    </w:p>
    <w:p>
      <w:pPr>
        <w:numPr>
          <w:ilvl w:val="0"/>
          <w:numId w:val="1003"/>
        </w:numPr>
        <w:pStyle w:val="Compact"/>
      </w:pPr>
      <w:r>
        <w:t xml:space="preserve">All intellectual property, reports, models, and deliverables produced under this engagement shall become the exclusive property of the client upon full payment of the Quotation Estimate amount.</w:t>
      </w:r>
    </w:p>
    <w:p>
      <w:pPr>
        <w:numPr>
          <w:ilvl w:val="0"/>
          <w:numId w:val="1003"/>
        </w:numPr>
        <w:pStyle w:val="Compact"/>
      </w:pPr>
      <w:r>
        <w:t xml:space="preserve">Confidentiality: Both parties agree to maintain strict confidentiality of all business information exchanged during the engagement, in accordance with the Federal Law of the Russian Federation on Commercial Secrecy (No. 98-FZ, 1998).</w:t>
      </w:r>
    </w:p>
    <w:p>
      <w:pPr>
        <w:numPr>
          <w:ilvl w:val="0"/>
          <w:numId w:val="1003"/>
        </w:numPr>
        <w:pStyle w:val="Compact"/>
      </w:pPr>
      <w:r>
        <w:t xml:space="preserve">Force Majeure: Neither party shall be liable for delays or failures in performance resulting from events beyond reasonable control, including but not limited to sanctions-related disruptions, natural disasters, or government-mandated restrictions affecting operations in Russia Moscow.</w:t>
      </w:r>
    </w:p>
    <w:p>
      <w:pPr>
        <w:numPr>
          <w:ilvl w:val="0"/>
          <w:numId w:val="1003"/>
        </w:numPr>
        <w:pStyle w:val="Compact"/>
      </w:pPr>
      <w:r>
        <w:t xml:space="preserve">Dispute Resolution: Any disputes arising from this Quotation Estimate or the subsequent contract shall be resolved through arbitration at the International Commercial Arbitration Court at the Chamber of Commerce and Industry of the Russian Federation (Moscow), in accordance with its rules of procedure.</w:t>
      </w:r>
    </w:p>
    <w:p>
      <w:pPr>
        <w:numPr>
          <w:ilvl w:val="0"/>
          <w:numId w:val="1003"/>
        </w:numPr>
        <w:pStyle w:val="Compact"/>
      </w:pPr>
      <w:r>
        <w:t xml:space="preserve">Governing Law: This Quotation Estimate and any resulting agreement shall be governed by and construed in accordance with the civil legislation of the Russian Federation.</w:t>
      </w:r>
    </w:p>
    <w:p>
      <w:pPr>
        <w:numPr>
          <w:ilvl w:val="0"/>
          <w:numId w:val="1003"/>
        </w:numPr>
        <w:pStyle w:val="Compact"/>
      </w:pPr>
      <w:r>
        <w:t xml:space="preserve">Subcontracting: The Business Consultant may engage specialized subcontractors for niche tasks (e.g., IT infrastructure audit) with prior written consent from the client. All subcontractor fees are included in the Quotation Estimate totals above.</w:t>
      </w:r>
    </w:p>
    <w:bookmarkEnd w:id="25"/>
    <w:bookmarkStart w:id="26" w:name="assumptions-and-exclusions"/>
    <w:p>
      <w:pPr>
        <w:pStyle w:val="Heading2"/>
      </w:pPr>
      <w:r>
        <w:t xml:space="preserve">6. Assumptions and Exclusions</w:t>
      </w:r>
    </w:p>
    <w:p>
      <w:pPr>
        <w:numPr>
          <w:ilvl w:val="0"/>
          <w:numId w:val="1004"/>
        </w:numPr>
        <w:pStyle w:val="Compact"/>
      </w:pPr>
      <w:r>
        <w:t xml:space="preserve">This Quotation Estimate assumes the client will provide timely access to all relevant financial records, operational data, and key personnel within the Russia Moscow office.</w:t>
      </w:r>
    </w:p>
    <w:p>
      <w:pPr>
        <w:numPr>
          <w:ilvl w:val="0"/>
          <w:numId w:val="1004"/>
        </w:numPr>
        <w:pStyle w:val="Compact"/>
      </w:pPr>
      <w:r>
        <w:t xml:space="preserve">Costs exceeding the estimated hours by more than 15% will require a formal change order and written approval before additional work commences.</w:t>
      </w:r>
    </w:p>
    <w:p>
      <w:pPr>
        <w:numPr>
          <w:ilvl w:val="0"/>
          <w:numId w:val="1004"/>
        </w:numPr>
        <w:pStyle w:val="Compact"/>
      </w:pPr>
      <w:r>
        <w:t xml:space="preserve">Legal representation in court proceedings, notary services, and government filing fees are excluded from this Quotation Estimate and will be billed at cost if required.</w:t>
      </w:r>
    </w:p>
    <w:p>
      <w:pPr>
        <w:numPr>
          <w:ilvl w:val="0"/>
          <w:numId w:val="1004"/>
        </w:numPr>
        <w:pStyle w:val="Compact"/>
      </w:pPr>
      <w:r>
        <w:t xml:space="preserve">The Business Consultant team availability is confirmed for the proposed 12-week timeline. Any rescheduling beyond 30 days may affect the Quotation Estimate pricing.</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confirms understanding of the scope, pricing, and terms outlined herein, and authorizes Meridian Advisory Group LLC to proceed with the Business Consultant engagement in Russia Moscow upon execution of the formal MSA and SOW.</w:t>
      </w:r>
    </w:p>
    <w:p>
      <w:pPr>
        <w:pStyle w:val="BodyText"/>
      </w:pPr>
      <w:r>
        <w:rPr>
          <w:bCs/>
          <w:b/>
        </w:rPr>
        <w:t xml:space="preserve">For Meridian Advisory Group LLC</w:t>
      </w:r>
    </w:p>
    <w:p>
      <w:pPr>
        <w:pStyle w:val="BodyText"/>
      </w:pPr>
      <w:r>
        <w:t xml:space="preserve">Name: Andrei Volkov</w:t>
      </w:r>
    </w:p>
    <w:p>
      <w:pPr>
        <w:pStyle w:val="BodyText"/>
      </w:pPr>
      <w:r>
        <w:t xml:space="preserve">Title: Senior Business Consultant / Managing Partner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Meridian Advisory Group LLC | 12 Tverskaya Street, 101000 Moscow, Russia | Reg. No. 7700000000 | INN 7700000000</w:t>
      </w:r>
    </w:p>
    <w:p>
      <w:pPr>
        <w:pStyle w:val="BodyText"/>
      </w:pPr>
      <w:r>
        <w:t xml:space="preserve">Phone: +7 (495) 000-00-00 | Email: consulting@meridian-advisory.ru</w:t>
      </w:r>
    </w:p>
    <w:p>
      <w:pPr>
        <w:pStyle w:val="BodyText"/>
      </w:pPr>
      <w:r>
        <w:t xml:space="preserve">This Quotation Estimate is a confidential commercial document intended solely for the named recipient.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Russia Moscow</dc:title>
  <dc:creator/>
  <dc:language>en</dc:language>
  <cp:keywords/>
  <dcterms:created xsi:type="dcterms:W3CDTF">2026-10-10T08:50:54Z</dcterms:created>
  <dcterms:modified xsi:type="dcterms:W3CDTF">2026-10-10T08:50:54Z</dcterms:modified>
</cp:coreProperties>
</file>

<file path=docProps/custom.xml><?xml version="1.0" encoding="utf-8"?>
<Properties xmlns="http://schemas.openxmlformats.org/officeDocument/2006/custom-properties" xmlns:vt="http://schemas.openxmlformats.org/officeDocument/2006/docPropsVTypes"/>
</file>