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9" w:name="quotation-estimate"/>
    <w:p>
      <w:pPr>
        <w:pStyle w:val="Heading1"/>
      </w:pPr>
      <w:r>
        <w:t xml:space="preserve">QUOTATION ESTIMATE</w:t>
      </w:r>
    </w:p>
    <w:p>
      <w:pPr>
        <w:pStyle w:val="FirstParagraph"/>
      </w:pPr>
      <w:r>
        <w:t xml:space="preserve">Professional Business Consultant Services</w:t>
      </w:r>
    </w:p>
    <w:p>
      <w:pPr>
        <w:pStyle w:val="BodyText"/>
      </w:pPr>
      <w:r>
        <w:t xml:space="preserve">Prepared for Operations in Russia Saint Petersburg</w:t>
      </w:r>
    </w:p>
    <w:bookmarkStart w:id="20" w:name="provider"/>
    <w:p>
      <w:pPr>
        <w:pStyle w:val="Heading3"/>
      </w:pPr>
      <w:r>
        <w:t xml:space="preserve">Provider</w:t>
      </w:r>
    </w:p>
    <w:p>
      <w:pPr>
        <w:pStyle w:val="FirstParagraph"/>
      </w:pPr>
      <w:r>
        <w:rPr>
          <w:bCs/>
          <w:b/>
        </w:rPr>
        <w:t xml:space="preserve">Meridian Strategic Advisory Group LLC</w:t>
      </w:r>
      <w:r>
        <w:br/>
      </w:r>
      <w:r>
        <w:t xml:space="preserve">12 Nevsky Prospekt, Office 47</w:t>
      </w:r>
      <w:r>
        <w:br/>
      </w:r>
      <w:r>
        <w:t xml:space="preserve">Saint Petersburg, 191025</w:t>
      </w:r>
      <w:r>
        <w:br/>
      </w:r>
      <w:r>
        <w:t xml:space="preserve">Russia</w:t>
      </w:r>
      <w:r>
        <w:br/>
      </w:r>
      <w:r>
        <w:t xml:space="preserve">Tel: +7 (812) 555-0142</w:t>
      </w:r>
      <w:r>
        <w:br/>
      </w:r>
      <w:r>
        <w:t xml:space="preserve">Email: estimates@meridian-advisory.ru</w:t>
      </w:r>
      <w:r>
        <w:br/>
      </w:r>
      <w:r>
        <w:t xml:space="preserve">INN: 7805123456 | OGRN: 1157847001234</w:t>
      </w:r>
    </w:p>
    <w:bookmarkEnd w:id="20"/>
    <w:bookmarkStart w:id="21" w:name="client"/>
    <w:p>
      <w:pPr>
        <w:pStyle w:val="Heading3"/>
      </w:pPr>
      <w:r>
        <w:t xml:space="preserve">Client</w:t>
      </w:r>
    </w:p>
    <w:p>
      <w:pPr>
        <w:pStyle w:val="FirstParagraph"/>
      </w:pPr>
      <w:r>
        <w:rPr>
          <w:bCs/>
          <w:b/>
        </w:rPr>
        <w:t xml:space="preserve">Prepared For:</w:t>
      </w:r>
      <w:r>
        <w:br/>
      </w:r>
      <w:r>
        <w:t xml:space="preserve">[Client Company Name]</w:t>
      </w:r>
      <w:r>
        <w:br/>
      </w:r>
      <w:r>
        <w:t xml:space="preserve">[Client Address]</w:t>
      </w:r>
      <w:r>
        <w:br/>
      </w:r>
      <w:r>
        <w:t xml:space="preserve">Saint Petersburg, Russia</w:t>
      </w:r>
      <w:r>
        <w:br/>
      </w:r>
      <w:r>
        <w:t xml:space="preserve">Contact Person: [Name]</w:t>
      </w:r>
      <w:r>
        <w:br/>
      </w:r>
      <w:r>
        <w:t xml:space="preserve">Email: [client@email.com]</w:t>
      </w:r>
      <w:r>
        <w:br/>
      </w:r>
      <w:r>
        <w:t xml:space="preserve">Phone: +7 (___) ___-__-__</w:t>
      </w:r>
    </w:p>
    <w:bookmarkEnd w:id="21"/>
    <w:p>
      <w:pPr>
        <w:pStyle w:val="BodyText"/>
      </w:pPr>
      <w:r>
        <w:rPr>
          <w:bCs/>
          <w:b/>
        </w:rPr>
        <w:t xml:space="preserve">Quotation Estimate No.:</w:t>
      </w:r>
      <w:r>
        <w:t xml:space="preserve"> </w:t>
      </w:r>
      <w:r>
        <w:t xml:space="preserve">QTE-2025-SPB-00847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Service Location:</w:t>
      </w:r>
      <w:r>
        <w:t xml:space="preserve"> </w:t>
      </w:r>
      <w:r>
        <w:t xml:space="preserve">Russia Saint Petersburg (on-site and remote)</w:t>
      </w:r>
    </w:p>
    <w:p>
      <w:pPr>
        <w:pStyle w:val="BodyText"/>
      </w:pPr>
      <w:r>
        <w:rPr>
          <w:bCs/>
          <w:b/>
        </w:rPr>
        <w:t xml:space="preserve">Engagement Period:</w:t>
      </w:r>
      <w:r>
        <w:t xml:space="preserve"> </w:t>
      </w:r>
      <w:r>
        <w:t xml:space="preserve">12 months (January 2026 – December 2026)</w:t>
      </w:r>
    </w:p>
    <w:p>
      <w:pPr>
        <w:pStyle w:val="BodyText"/>
      </w:pPr>
      <w:r>
        <w:rPr>
          <w:bCs/>
          <w:b/>
        </w:rPr>
        <w:t xml:space="preserve">Currency:</w:t>
      </w:r>
      <w:r>
        <w:t xml:space="preserve"> </w:t>
      </w:r>
      <w:r>
        <w:t xml:space="preserve">Russian Ruble (RUB) / US Dollar (USD) – dual pricing</w:t>
      </w:r>
    </w:p>
    <w:bookmarkStart w:id="22" w:name="executive-summary"/>
    <w:p>
      <w:pPr>
        <w:pStyle w:val="Heading2"/>
      </w:pPr>
      <w:r>
        <w:t xml:space="preserve">1. Executive Summary</w:t>
      </w:r>
    </w:p>
    <w:p>
      <w:pPr>
        <w:pStyle w:val="FirstParagraph"/>
      </w:pPr>
      <w:r>
        <w:t xml:space="preserve">This Quotation Estimate is formally issued by Meridian Strategic Advisory Group LLC to provide a comprehensive, itemized financial proposal for the engagement of a senior Business Consultant to deliver strategic advisory services to the client organization. All services described herein are tailored specifically for implementation within the Russia Saint Petersburg business environment, taking into account local regulatory frameworks, market dynamics, and operational considerations unique to the region. This Quotation Estimate reflects our commitment to transparency, competitive pricing, and measurable value delivery throughout the entire engagement lifecycle.</w:t>
      </w:r>
    </w:p>
    <w:bookmarkEnd w:id="22"/>
    <w:bookmarkStart w:id="23" w:name="scope-of-business-consultant-services"/>
    <w:p>
      <w:pPr>
        <w:pStyle w:val="Heading2"/>
      </w:pPr>
      <w:r>
        <w:t xml:space="preserve">2. Scope of Business Consultant Services</w:t>
      </w:r>
    </w:p>
    <w:p>
      <w:pPr>
        <w:pStyle w:val="FirstParagraph"/>
      </w:pPr>
      <w:r>
        <w:t xml:space="preserve">The Business Consultant engaged under this Quotation Estimate will deliver the following core service modules across the 12-month engagement period in Russia Saint Petersburg: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Module</w:t>
            </w:r>
          </w:p>
        </w:tc>
        <w:tc>
          <w:tcPr/>
          <w:p>
            <w:pPr>
              <w:pStyle w:val="Compact"/>
              <w:jc w:val="left"/>
            </w:pPr>
            <w:r>
              <w:t xml:space="preserve">Description of Deliverables</w:t>
            </w:r>
          </w:p>
        </w:tc>
        <w:tc>
          <w:tcPr/>
          <w:p>
            <w:pPr>
              <w:pStyle w:val="Compact"/>
              <w:jc w:val="left"/>
            </w:pPr>
            <w:r>
              <w:t xml:space="preserve">Duration</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Strategic Planning &amp; Market Analysis</w:t>
            </w:r>
          </w:p>
        </w:tc>
        <w:tc>
          <w:tcPr/>
          <w:p>
            <w:pPr>
              <w:pStyle w:val="Compact"/>
              <w:jc w:val="left"/>
            </w:pPr>
            <w:r>
              <w:t xml:space="preserve">Comprehensive competitive landscape assessment of the Russia Saint Petersburg market; SWOT analysis; 3-year strategic roadmap development; entry/exit strategy recommendations.</w:t>
            </w:r>
          </w:p>
        </w:tc>
        <w:tc>
          <w:tcPr/>
          <w:p>
            <w:pPr>
              <w:pStyle w:val="Compact"/>
              <w:jc w:val="left"/>
            </w:pPr>
            <w:r>
              <w:t xml:space="preserve">80 hours</w:t>
            </w:r>
          </w:p>
        </w:tc>
        <w:tc>
          <w:tcPr/>
          <w:p>
            <w:pPr>
              <w:pStyle w:val="Compact"/>
              <w:jc w:val="left"/>
            </w:pPr>
            <w:r>
              <w:t xml:space="preserve">Months 1–3</w:t>
            </w:r>
          </w:p>
        </w:tc>
      </w:tr>
      <w:tr>
        <w:tc>
          <w:tcPr/>
          <w:p>
            <w:pPr>
              <w:pStyle w:val="Compact"/>
              <w:jc w:val="left"/>
            </w:pPr>
            <w:r>
              <w:t xml:space="preserve">2</w:t>
            </w:r>
          </w:p>
        </w:tc>
        <w:tc>
          <w:tcPr/>
          <w:p>
            <w:pPr>
              <w:pStyle w:val="Compact"/>
              <w:jc w:val="left"/>
            </w:pPr>
            <w:r>
              <w:t xml:space="preserve">Operational Process Optimization</w:t>
            </w:r>
          </w:p>
        </w:tc>
        <w:tc>
          <w:tcPr/>
          <w:p>
            <w:pPr>
              <w:pStyle w:val="Compact"/>
              <w:jc w:val="left"/>
            </w:pPr>
            <w:r>
              <w:t xml:space="preserve">End-to-end process mapping; bottleneck identification; lean methodology implementation; KPI framework design; efficiency improvement plan targeting 15–25% cost reduction.</w:t>
            </w:r>
          </w:p>
        </w:tc>
        <w:tc>
          <w:tcPr/>
          <w:p>
            <w:pPr>
              <w:pStyle w:val="Compact"/>
              <w:jc w:val="left"/>
            </w:pPr>
            <w:r>
              <w:t xml:space="preserve">120 hours</w:t>
            </w:r>
          </w:p>
        </w:tc>
        <w:tc>
          <w:tcPr/>
          <w:p>
            <w:pPr>
              <w:pStyle w:val="Compact"/>
              <w:jc w:val="left"/>
            </w:pPr>
            <w:r>
              <w:t xml:space="preserve">Months 2–6</w:t>
            </w:r>
          </w:p>
        </w:tc>
      </w:tr>
      <w:tr>
        <w:tc>
          <w:tcPr/>
          <w:p>
            <w:pPr>
              <w:pStyle w:val="Compact"/>
              <w:jc w:val="left"/>
            </w:pPr>
            <w:r>
              <w:t xml:space="preserve">3</w:t>
            </w:r>
          </w:p>
        </w:tc>
        <w:tc>
          <w:tcPr/>
          <w:p>
            <w:pPr>
              <w:pStyle w:val="Compact"/>
              <w:jc w:val="left"/>
            </w:pPr>
            <w:r>
              <w:t xml:space="preserve">Financial Modeling &amp; Budget Advisory</w:t>
            </w:r>
          </w:p>
        </w:tc>
        <w:tc>
          <w:tcPr/>
          <w:p>
            <w:pPr>
              <w:pStyle w:val="Compact"/>
              <w:jc w:val="left"/>
            </w:pPr>
            <w:r>
              <w:t xml:space="preserve">Revenue forecasting models; capital expenditure planning; cash flow optimization; tax structuring advice compliant with Russian Federation regulations; quarterly financial review sessions.</w:t>
            </w:r>
          </w:p>
        </w:tc>
        <w:tc>
          <w:tcPr/>
          <w:p>
            <w:pPr>
              <w:pStyle w:val="Compact"/>
              <w:jc w:val="left"/>
            </w:pPr>
            <w:r>
              <w:t xml:space="preserve">100 hours</w:t>
            </w:r>
          </w:p>
        </w:tc>
        <w:tc>
          <w:tcPr/>
          <w:p>
            <w:pPr>
              <w:pStyle w:val="Compact"/>
              <w:jc w:val="left"/>
            </w:pPr>
            <w:r>
              <w:t xml:space="preserve">Months 3–12</w:t>
            </w:r>
          </w:p>
        </w:tc>
      </w:tr>
      <w:tr>
        <w:tc>
          <w:tcPr/>
          <w:p>
            <w:pPr>
              <w:pStyle w:val="Compact"/>
              <w:jc w:val="left"/>
            </w:pPr>
            <w:r>
              <w:t xml:space="preserve">4</w:t>
            </w:r>
          </w:p>
        </w:tc>
        <w:tc>
          <w:tcPr/>
          <w:p>
            <w:pPr>
              <w:pStyle w:val="Compact"/>
              <w:jc w:val="left"/>
            </w:pPr>
            <w:r>
              <w:t xml:space="preserve">Organizational Development &amp; Change Management</w:t>
            </w:r>
          </w:p>
        </w:tc>
        <w:tc>
          <w:tcPr/>
          <w:p>
            <w:pPr>
              <w:pStyle w:val="Compact"/>
              <w:jc w:val="left"/>
            </w:pPr>
            <w:r>
              <w:t xml:space="preserve">Organizational structure redesign; leadership capability assessment; change management program design; employee engagement strategy; training program development for Russia Saint Petersburg-based teams.</w:t>
            </w:r>
          </w:p>
        </w:tc>
        <w:tc>
          <w:tcPr/>
          <w:p>
            <w:pPr>
              <w:pStyle w:val="Compact"/>
              <w:jc w:val="left"/>
            </w:pPr>
            <w:r>
              <w:t xml:space="preserve">90 hours</w:t>
            </w:r>
          </w:p>
        </w:tc>
        <w:tc>
          <w:tcPr/>
          <w:p>
            <w:pPr>
              <w:pStyle w:val="Compact"/>
              <w:jc w:val="left"/>
            </w:pPr>
            <w:r>
              <w:t xml:space="preserve">Months 4–9</w:t>
            </w:r>
          </w:p>
        </w:tc>
      </w:tr>
      <w:tr>
        <w:tc>
          <w:tcPr/>
          <w:p>
            <w:pPr>
              <w:pStyle w:val="Compact"/>
              <w:jc w:val="left"/>
            </w:pPr>
            <w:r>
              <w:t xml:space="preserve">5</w:t>
            </w:r>
          </w:p>
        </w:tc>
        <w:tc>
          <w:tcPr/>
          <w:p>
            <w:pPr>
              <w:pStyle w:val="Compact"/>
              <w:jc w:val="left"/>
            </w:pPr>
            <w:r>
              <w:t xml:space="preserve">Digital Transformation Advisory</w:t>
            </w:r>
          </w:p>
        </w:tc>
        <w:tc>
          <w:tcPr/>
          <w:p>
            <w:pPr>
              <w:pStyle w:val="Compact"/>
              <w:jc w:val="left"/>
            </w:pPr>
            <w:r>
              <w:t xml:space="preserve">Technology stack assessment; automation opportunity identification; vendor selection support; implementation oversight; ROI tracking for digital initiatives.</w:t>
            </w:r>
          </w:p>
        </w:tc>
        <w:tc>
          <w:tcPr/>
          <w:p>
            <w:pPr>
              <w:pStyle w:val="Compact"/>
              <w:jc w:val="left"/>
            </w:pPr>
            <w:r>
              <w:t xml:space="preserve">70 hours</w:t>
            </w:r>
          </w:p>
        </w:tc>
        <w:tc>
          <w:tcPr/>
          <w:p>
            <w:pPr>
              <w:pStyle w:val="Compact"/>
              <w:jc w:val="left"/>
            </w:pPr>
            <w:r>
              <w:t xml:space="preserve">Months 5–10</w:t>
            </w:r>
          </w:p>
        </w:tc>
      </w:tr>
      <w:tr>
        <w:tc>
          <w:tcPr/>
          <w:p>
            <w:pPr>
              <w:pStyle w:val="Compact"/>
              <w:jc w:val="left"/>
            </w:pPr>
            <w:r>
              <w:t xml:space="preserve">6</w:t>
            </w:r>
          </w:p>
        </w:tc>
        <w:tc>
          <w:tcPr/>
          <w:p>
            <w:pPr>
              <w:pStyle w:val="Compact"/>
              <w:jc w:val="left"/>
            </w:pPr>
            <w:r>
              <w:t xml:space="preserve">Regulatory Compliance &amp; Risk Management</w:t>
            </w:r>
          </w:p>
        </w:tc>
        <w:tc>
          <w:tcPr/>
          <w:p>
            <w:pPr>
              <w:pStyle w:val="Compact"/>
              <w:jc w:val="left"/>
            </w:pPr>
            <w:r>
              <w:t xml:space="preserve">Compliance audit against Russian Federation commercial law; risk register development; mitigation strategies; ongoing regulatory monitoring for operations in Russia Saint Petersburg.</w:t>
            </w:r>
          </w:p>
        </w:tc>
        <w:tc>
          <w:tcPr/>
          <w:p>
            <w:pPr>
              <w:pStyle w:val="Compact"/>
              <w:jc w:val="left"/>
            </w:pPr>
            <w:r>
              <w:t xml:space="preserve">60 hours</w:t>
            </w:r>
          </w:p>
        </w:tc>
        <w:tc>
          <w:tcPr/>
          <w:p>
            <w:pPr>
              <w:pStyle w:val="Compact"/>
              <w:jc w:val="left"/>
            </w:pPr>
            <w:r>
              <w:t xml:space="preserve">Months 6–12</w:t>
            </w:r>
          </w:p>
        </w:tc>
      </w:tr>
      <w:tr>
        <w:tc>
          <w:tcPr/>
          <w:p>
            <w:pPr>
              <w:pStyle w:val="Compact"/>
              <w:jc w:val="left"/>
            </w:pPr>
            <w:r>
              <w:t xml:space="preserve">7</w:t>
            </w:r>
          </w:p>
        </w:tc>
        <w:tc>
          <w:tcPr/>
          <w:p>
            <w:pPr>
              <w:pStyle w:val="Compact"/>
              <w:jc w:val="left"/>
            </w:pPr>
            <w:r>
              <w:t xml:space="preserve">Executive Advisory &amp; Board Support</w:t>
            </w:r>
          </w:p>
        </w:tc>
        <w:tc>
          <w:tcPr/>
          <w:p>
            <w:pPr>
              <w:pStyle w:val="Compact"/>
              <w:jc w:val="left"/>
            </w:pPr>
            <w:r>
              <w:t xml:space="preserve">Monthly executive briefings; ad-hoc strategic consultations; board presentation preparation; crisis management support; stakeholder communication strategy.</w:t>
            </w:r>
          </w:p>
        </w:tc>
        <w:tc>
          <w:tcPr/>
          <w:p>
            <w:pPr>
              <w:pStyle w:val="Compact"/>
              <w:jc w:val="left"/>
            </w:pPr>
            <w:r>
              <w:t xml:space="preserve">48 hours</w:t>
            </w:r>
          </w:p>
        </w:tc>
        <w:tc>
          <w:tcPr/>
          <w:p>
            <w:pPr>
              <w:pStyle w:val="Compact"/>
              <w:jc w:val="left"/>
            </w:pPr>
            <w:r>
              <w:t xml:space="preserve">Monthly (Months 1–12)</w:t>
            </w:r>
          </w:p>
        </w:tc>
      </w:tr>
    </w:tbl>
    <w:bookmarkEnd w:id="23"/>
    <w:bookmarkStart w:id="24" w:name="X99c9499de5c98ccaacfa8f1f6f8363d33ed1c39"/>
    <w:p>
      <w:pPr>
        <w:pStyle w:val="Heading2"/>
      </w:pPr>
      <w:r>
        <w:t xml:space="preserve">3. Financial Breakdown – Quotation Estimate Pricing</w:t>
      </w:r>
    </w:p>
    <w:p>
      <w:pPr>
        <w:pStyle w:val="FirstParagraph"/>
      </w:pPr>
      <w:r>
        <w:t xml:space="preserve">The following table presents the detailed cost structure for this Quotation Estimate. All rates are inclusive of the Business Consultant's professional fees, travel within Russia Saint Petersburg, and standard administrative overhead. Rates are quoted in both RUB and USD for the client's convenience.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Rate (RUB/hour)</w:t>
            </w:r>
          </w:p>
        </w:tc>
        <w:tc>
          <w:tcPr/>
          <w:p>
            <w:pPr>
              <w:pStyle w:val="Compact"/>
              <w:jc w:val="left"/>
            </w:pPr>
            <w:r>
              <w:t xml:space="preserve">Rate (USD/hour)</w:t>
            </w:r>
          </w:p>
        </w:tc>
        <w:tc>
          <w:tcPr/>
          <w:p>
            <w:pPr>
              <w:pStyle w:val="Compact"/>
              <w:jc w:val="left"/>
            </w:pPr>
            <w:r>
              <w:t xml:space="preserve">Hours</w:t>
            </w:r>
          </w:p>
        </w:tc>
        <w:tc>
          <w:tcPr/>
          <w:p>
            <w:pPr>
              <w:pStyle w:val="Compact"/>
              <w:jc w:val="left"/>
            </w:pPr>
            <w:r>
              <w:t xml:space="preserve">Subtotal (RUB)</w:t>
            </w:r>
          </w:p>
        </w:tc>
        <w:tc>
          <w:tcPr/>
          <w:p>
            <w:pPr>
              <w:pStyle w:val="Compact"/>
              <w:jc w:val="left"/>
            </w:pPr>
            <w:r>
              <w:t xml:space="preserve">Subtotal (USD)</w:t>
            </w:r>
          </w:p>
        </w:tc>
        <w:tc>
          <w:tcPr/>
          <w:p>
            <w:pPr>
              <w:pStyle w:val="Compact"/>
            </w:pPr>
          </w:p>
        </w:tc>
      </w:tr>
      <w:tr>
        <w:tc>
          <w:tcPr/>
          <w:p>
            <w:pPr>
              <w:pStyle w:val="Compact"/>
              <w:jc w:val="left"/>
            </w:pPr>
            <w:r>
              <w:t xml:space="preserve">Strategic Planning &amp; Market Analysis</w:t>
            </w:r>
          </w:p>
        </w:tc>
        <w:tc>
          <w:tcPr/>
          <w:p>
            <w:pPr>
              <w:pStyle w:val="Compact"/>
              <w:jc w:val="left"/>
            </w:pPr>
            <w:r>
              <w:t xml:space="preserve">12,500</w:t>
            </w:r>
          </w:p>
        </w:tc>
        <w:tc>
          <w:tcPr/>
          <w:p>
            <w:pPr>
              <w:pStyle w:val="Compact"/>
              <w:jc w:val="left"/>
            </w:pPr>
            <w:r>
              <w:t xml:space="preserve">135</w:t>
            </w:r>
          </w:p>
        </w:tc>
        <w:tc>
          <w:tcPr/>
          <w:p>
            <w:pPr>
              <w:pStyle w:val="Compact"/>
              <w:jc w:val="left"/>
            </w:pPr>
            <w:r>
              <w:t xml:space="preserve">80</w:t>
            </w:r>
          </w:p>
        </w:tc>
        <w:tc>
          <w:tcPr/>
          <w:p>
            <w:pPr>
              <w:pStyle w:val="Compact"/>
              <w:jc w:val="left"/>
            </w:pPr>
            <w:r>
              <w:t xml:space="preserve">1,000,000</w:t>
            </w:r>
          </w:p>
        </w:tc>
        <w:tc>
          <w:tcPr/>
          <w:p>
            <w:pPr>
              <w:pStyle w:val="Compact"/>
              <w:jc w:val="left"/>
            </w:pPr>
            <w:r>
              <w:t xml:space="preserve">10,800</w:t>
            </w:r>
          </w:p>
        </w:tc>
        <w:tc>
          <w:tcPr/>
          <w:p>
            <w:pPr>
              <w:pStyle w:val="Compact"/>
            </w:pPr>
          </w:p>
        </w:tc>
      </w:tr>
      <w:tr>
        <w:tc>
          <w:tcPr/>
          <w:p>
            <w:pPr>
              <w:pStyle w:val="Compact"/>
              <w:jc w:val="left"/>
            </w:pPr>
            <w:r>
              <w:t xml:space="preserve">Operational Process Optimization</w:t>
            </w:r>
          </w:p>
        </w:tc>
        <w:tc>
          <w:tcPr/>
          <w:p>
            <w:pPr>
              <w:pStyle w:val="Compact"/>
              <w:jc w:val="left"/>
            </w:pPr>
            <w:r>
              <w:t xml:space="preserve">12,500</w:t>
            </w:r>
          </w:p>
        </w:tc>
        <w:tc>
          <w:tcPr/>
          <w:p>
            <w:pPr>
              <w:pStyle w:val="Compact"/>
              <w:jc w:val="left"/>
            </w:pPr>
            <w:r>
              <w:t xml:space="preserve">135</w:t>
            </w:r>
          </w:p>
        </w:tc>
        <w:tc>
          <w:tcPr/>
          <w:p>
            <w:pPr>
              <w:pStyle w:val="Compact"/>
              <w:jc w:val="left"/>
            </w:pPr>
            <w:r>
              <w:t xml:space="preserve">120</w:t>
            </w:r>
          </w:p>
        </w:tc>
        <w:tc>
          <w:tcPr/>
          <w:p>
            <w:pPr>
              <w:pStyle w:val="Compact"/>
              <w:jc w:val="left"/>
            </w:pPr>
            <w:r>
              <w:t xml:space="preserve">1,500,000</w:t>
            </w:r>
          </w:p>
        </w:tc>
        <w:tc>
          <w:tcPr/>
          <w:p>
            <w:pPr>
              <w:pStyle w:val="Compact"/>
              <w:jc w:val="left"/>
            </w:pPr>
            <w:r>
              <w:t xml:space="preserve">16,200</w:t>
            </w:r>
          </w:p>
        </w:tc>
        <w:tc>
          <w:tcPr/>
          <w:p>
            <w:pPr>
              <w:pStyle w:val="Compact"/>
            </w:pPr>
          </w:p>
        </w:tc>
      </w:tr>
      <w:tr>
        <w:tc>
          <w:tcPr/>
          <w:p>
            <w:pPr>
              <w:pStyle w:val="Compact"/>
              <w:jc w:val="left"/>
            </w:pPr>
            <w:r>
              <w:t xml:space="preserve">Financial Modeling &amp; Budget Advisory</w:t>
            </w:r>
          </w:p>
        </w:tc>
        <w:tc>
          <w:tcPr/>
          <w:p>
            <w:pPr>
              <w:pStyle w:val="Compact"/>
              <w:jc w:val="left"/>
            </w:pPr>
            <w:r>
              <w:t xml:space="preserve">14,000</w:t>
            </w:r>
          </w:p>
        </w:tc>
        <w:tc>
          <w:tcPr/>
          <w:p>
            <w:pPr>
              <w:pStyle w:val="Compact"/>
              <w:jc w:val="left"/>
            </w:pPr>
            <w:r>
              <w:t xml:space="preserve">150</w:t>
            </w:r>
          </w:p>
        </w:tc>
        <w:tc>
          <w:tcPr/>
          <w:p>
            <w:pPr>
              <w:pStyle w:val="Compact"/>
              <w:jc w:val="left"/>
            </w:pPr>
            <w:r>
              <w:t xml:space="preserve">100</w:t>
            </w:r>
          </w:p>
        </w:tc>
        <w:tc>
          <w:tcPr/>
          <w:p>
            <w:pPr>
              <w:pStyle w:val="Compact"/>
              <w:jc w:val="left"/>
            </w:pPr>
            <w:r>
              <w:t xml:space="preserve">1,400,000</w:t>
            </w:r>
          </w:p>
        </w:tc>
        <w:tc>
          <w:tcPr/>
          <w:p>
            <w:pPr>
              <w:pStyle w:val="Compact"/>
              <w:jc w:val="left"/>
            </w:pPr>
            <w:r>
              <w:t xml:space="preserve">15,000</w:t>
            </w:r>
          </w:p>
        </w:tc>
        <w:tc>
          <w:tcPr/>
          <w:p>
            <w:pPr>
              <w:pStyle w:val="Compact"/>
            </w:pPr>
          </w:p>
        </w:tc>
      </w:tr>
      <w:tr>
        <w:tc>
          <w:tcPr/>
          <w:p>
            <w:pPr>
              <w:pStyle w:val="Compact"/>
              <w:jc w:val="left"/>
            </w:pPr>
            <w:r>
              <w:t xml:space="preserve">Organizational Development &amp; Change Management</w:t>
            </w:r>
          </w:p>
        </w:tc>
        <w:tc>
          <w:tcPr/>
          <w:p>
            <w:pPr>
              <w:pStyle w:val="Compact"/>
              <w:jc w:val="left"/>
            </w:pPr>
            <w:r>
              <w:t xml:space="preserve">12,500</w:t>
            </w:r>
          </w:p>
        </w:tc>
        <w:tc>
          <w:tcPr/>
          <w:p>
            <w:pPr>
              <w:pStyle w:val="Compact"/>
              <w:jc w:val="left"/>
            </w:pPr>
            <w:r>
              <w:t xml:space="preserve">135</w:t>
            </w:r>
          </w:p>
        </w:tc>
        <w:tc>
          <w:tcPr/>
          <w:p>
            <w:pPr>
              <w:pStyle w:val="Compact"/>
              <w:jc w:val="left"/>
            </w:pPr>
            <w:r>
              <w:t xml:space="preserve">90</w:t>
            </w:r>
          </w:p>
        </w:tc>
        <w:tc>
          <w:tcPr/>
          <w:p>
            <w:pPr>
              <w:pStyle w:val="Compact"/>
              <w:jc w:val="left"/>
            </w:pPr>
            <w:r>
              <w:t xml:space="preserve">1,125,000</w:t>
            </w:r>
          </w:p>
        </w:tc>
        <w:tc>
          <w:tcPr/>
          <w:p>
            <w:pPr>
              <w:pStyle w:val="Compact"/>
              <w:jc w:val="left"/>
            </w:pPr>
            <w:r>
              <w:t xml:space="preserve">12,150</w:t>
            </w:r>
          </w:p>
        </w:tc>
        <w:tc>
          <w:tcPr/>
          <w:p>
            <w:pPr>
              <w:pStyle w:val="Compact"/>
            </w:pPr>
          </w:p>
        </w:tc>
      </w:tr>
      <w:tr>
        <w:tc>
          <w:tcPr/>
          <w:p>
            <w:pPr>
              <w:pStyle w:val="Compact"/>
              <w:jc w:val="left"/>
            </w:pPr>
            <w:r>
              <w:t xml:space="preserve">Digital Transformation Advisory</w:t>
            </w:r>
          </w:p>
        </w:tc>
        <w:tc>
          <w:tcPr/>
          <w:p>
            <w:pPr>
              <w:pStyle w:val="Compact"/>
              <w:jc w:val="left"/>
            </w:pPr>
            <w:r>
              <w:t xml:space="preserve">15,000</w:t>
            </w:r>
          </w:p>
        </w:tc>
        <w:tc>
          <w:tcPr/>
          <w:p>
            <w:pPr>
              <w:pStyle w:val="Compact"/>
              <w:jc w:val="left"/>
            </w:pPr>
            <w:r>
              <w:t xml:space="preserve">160</w:t>
            </w:r>
          </w:p>
        </w:tc>
        <w:tc>
          <w:tcPr/>
          <w:p>
            <w:pPr>
              <w:pStyle w:val="Compact"/>
              <w:jc w:val="left"/>
            </w:pPr>
            <w:r>
              <w:t xml:space="preserve">70</w:t>
            </w:r>
          </w:p>
        </w:tc>
        <w:tc>
          <w:tcPr/>
          <w:p>
            <w:pPr>
              <w:pStyle w:val="Compact"/>
              <w:jc w:val="left"/>
            </w:pPr>
            <w:r>
              <w:t xml:space="preserve">1,050,000</w:t>
            </w:r>
          </w:p>
        </w:tc>
        <w:tc>
          <w:tcPr/>
          <w:p>
            <w:pPr>
              <w:pStyle w:val="Compact"/>
              <w:jc w:val="left"/>
            </w:pPr>
            <w:r>
              <w:t xml:space="preserve">11,200</w:t>
            </w:r>
          </w:p>
        </w:tc>
        <w:tc>
          <w:tcPr/>
          <w:p>
            <w:pPr>
              <w:pStyle w:val="Compact"/>
            </w:pPr>
          </w:p>
        </w:tc>
      </w:tr>
      <w:tr>
        <w:tc>
          <w:tcPr/>
          <w:p>
            <w:pPr>
              <w:pStyle w:val="Compact"/>
              <w:jc w:val="left"/>
            </w:pPr>
            <w:r>
              <w:t xml:space="preserve">Regulatory Compliance &amp; Risk Management</w:t>
            </w:r>
          </w:p>
        </w:tc>
        <w:tc>
          <w:tcPr/>
          <w:p>
            <w:pPr>
              <w:pStyle w:val="Compact"/>
              <w:jc w:val="left"/>
            </w:pPr>
            <w:r>
              <w:t xml:space="preserve">14,000</w:t>
            </w:r>
          </w:p>
        </w:tc>
        <w:tc>
          <w:tcPr/>
          <w:p>
            <w:pPr>
              <w:pStyle w:val="Compact"/>
              <w:jc w:val="left"/>
            </w:pPr>
            <w:r>
              <w:t xml:space="preserve">150</w:t>
            </w:r>
          </w:p>
        </w:tc>
        <w:tc>
          <w:tcPr/>
          <w:p>
            <w:pPr>
              <w:pStyle w:val="Compact"/>
              <w:jc w:val="left"/>
            </w:pPr>
            <w:r>
              <w:t xml:space="preserve">60</w:t>
            </w:r>
          </w:p>
        </w:tc>
        <w:tc>
          <w:tcPr/>
          <w:p>
            <w:pPr>
              <w:pStyle w:val="Compact"/>
              <w:jc w:val="left"/>
            </w:pPr>
            <w:r>
              <w:t xml:space="preserve">840,000</w:t>
            </w:r>
          </w:p>
        </w:tc>
        <w:tc>
          <w:tcPr/>
          <w:p>
            <w:pPr>
              <w:pStyle w:val="Compact"/>
              <w:jc w:val="left"/>
            </w:pPr>
            <w:r>
              <w:t xml:space="preserve">9,000</w:t>
            </w:r>
          </w:p>
        </w:tc>
        <w:tc>
          <w:tcPr/>
          <w:p>
            <w:pPr>
              <w:pStyle w:val="Compact"/>
            </w:pPr>
          </w:p>
        </w:tc>
      </w:tr>
      <w:tr>
        <w:tc>
          <w:tcPr/>
          <w:p>
            <w:pPr>
              <w:pStyle w:val="Compact"/>
              <w:jc w:val="left"/>
            </w:pPr>
            <w:r>
              <w:t xml:space="preserve">Executive Advisory &amp; Board Support</w:t>
            </w:r>
          </w:p>
        </w:tc>
        <w:tc>
          <w:tcPr/>
          <w:p>
            <w:pPr>
              <w:pStyle w:val="Compact"/>
              <w:jc w:val="left"/>
            </w:pPr>
            <w:r>
              <w:t xml:space="preserve">16,000</w:t>
            </w:r>
          </w:p>
        </w:tc>
        <w:tc>
          <w:tcPr/>
          <w:p>
            <w:pPr>
              <w:pStyle w:val="Compact"/>
              <w:jc w:val="left"/>
            </w:pPr>
            <w:r>
              <w:t xml:space="preserve">170</w:t>
            </w:r>
          </w:p>
        </w:tc>
        <w:tc>
          <w:tcPr/>
          <w:p>
            <w:pPr>
              <w:pStyle w:val="Compact"/>
              <w:jc w:val="left"/>
            </w:pPr>
            <w:r>
              <w:t xml:space="preserve">48</w:t>
            </w:r>
          </w:p>
        </w:tc>
        <w:tc>
          <w:tcPr/>
          <w:p>
            <w:pPr>
              <w:pStyle w:val="Compact"/>
              <w:jc w:val="left"/>
            </w:pPr>
            <w:r>
              <w:t xml:space="preserve">768,000</w:t>
            </w:r>
          </w:p>
        </w:tc>
        <w:tc>
          <w:tcPr/>
          <w:p>
            <w:pPr>
              <w:pStyle w:val="Compact"/>
              <w:jc w:val="left"/>
            </w:pPr>
            <w:r>
              <w:t xml:space="preserve">8,160</w:t>
            </w:r>
          </w:p>
        </w:tc>
        <w:tc>
          <w:tcPr/>
          <w:p>
            <w:pPr>
              <w:pStyle w:val="Compact"/>
            </w:pPr>
          </w:p>
        </w:tc>
      </w:tr>
      <w:tr>
        <w:tc>
          <w:tcPr/>
          <w:p>
            <w:pPr>
              <w:pStyle w:val="Compact"/>
              <w:jc w:val="left"/>
            </w:pPr>
            <w:r>
              <w:t xml:space="preserve">Project Management &amp; Coordination (10% of total hours)</w:t>
            </w:r>
          </w:p>
        </w:tc>
        <w:tc>
          <w:tcPr/>
          <w:p>
            <w:pPr>
              <w:pStyle w:val="Compact"/>
              <w:jc w:val="left"/>
            </w:pPr>
            <w:r>
              <w:t xml:space="preserve">12,500</w:t>
            </w:r>
          </w:p>
        </w:tc>
        <w:tc>
          <w:tcPr/>
          <w:p>
            <w:pPr>
              <w:pStyle w:val="Compact"/>
              <w:jc w:val="left"/>
            </w:pPr>
            <w:r>
              <w:t xml:space="preserve">135</w:t>
            </w:r>
          </w:p>
        </w:tc>
        <w:tc>
          <w:tcPr/>
          <w:p>
            <w:pPr>
              <w:pStyle w:val="Compact"/>
              <w:jc w:val="left"/>
            </w:pPr>
            <w:r>
              <w:t xml:space="preserve">56.8</w:t>
            </w:r>
          </w:p>
        </w:tc>
        <w:tc>
          <w:tcPr/>
          <w:p>
            <w:pPr>
              <w:pStyle w:val="Compact"/>
              <w:jc w:val="left"/>
            </w:pPr>
            <w:r>
              <w:t xml:space="preserve">710,000</w:t>
            </w:r>
          </w:p>
        </w:tc>
        <w:tc>
          <w:tcPr/>
          <w:p>
            <w:pPr>
              <w:pStyle w:val="Compact"/>
              <w:jc w:val="left"/>
            </w:pPr>
            <w:r>
              <w:t xml:space="preserve">7,668</w:t>
            </w:r>
          </w:p>
        </w:tc>
        <w:tc>
          <w:tcPr/>
          <w:p>
            <w:pPr>
              <w:pStyle w:val="Compact"/>
            </w:pPr>
          </w:p>
        </w:tc>
      </w:tr>
      <w:tr>
        <w:tc>
          <w:tcPr/>
          <w:p>
            <w:pPr>
              <w:pStyle w:val="Compact"/>
              <w:jc w:val="left"/>
            </w:pPr>
            <w:r>
              <w:t xml:space="preserve">Travel &amp; Local Transportation (Russia Saint Petersburg)</w:t>
            </w:r>
          </w:p>
        </w:tc>
        <w:tc>
          <w:tcPr>
            <w:gridSpan w:val="3"/>
          </w:tcPr>
          <w:p>
            <w:pPr>
              <w:pStyle w:val="Compact"/>
              <w:jc w:val="left"/>
            </w:pPr>
            <w:r>
              <w:t xml:space="preserve">Flat monthly fee</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3,888</w:t>
            </w:r>
          </w:p>
        </w:tc>
      </w:tr>
      <w:tr>
        <w:tc>
          <w:tcPr/>
          <w:p>
            <w:pPr>
              <w:pStyle w:val="Compact"/>
              <w:jc w:val="left"/>
            </w:pPr>
            <w:r>
              <w:t xml:space="preserve">Reporting, Documentation &amp; Knowledge Transfer</w:t>
            </w:r>
          </w:p>
        </w:tc>
        <w:tc>
          <w:tcPr>
            <w:gridSpan w:val="3"/>
          </w:tcPr>
          <w:p>
            <w:pPr>
              <w:pStyle w:val="Compact"/>
              <w:jc w:val="left"/>
            </w:pPr>
            <w:r>
              <w:t xml:space="preserve">Flat fee</w:t>
            </w:r>
          </w:p>
        </w:tc>
        <w:tc>
          <w:tcPr/>
          <w:p>
            <w:pPr>
              <w:pStyle w:val="Compact"/>
              <w:jc w:val="left"/>
            </w:pPr>
            <w:r>
              <w:t xml:space="preserve">—</w:t>
            </w:r>
          </w:p>
        </w:tc>
        <w:tc>
          <w:tcPr/>
          <w:p>
            <w:pPr>
              <w:pStyle w:val="Compact"/>
              <w:jc w:val="left"/>
            </w:pPr>
            <w:r>
              <w:t xml:space="preserve">250,000</w:t>
            </w:r>
          </w:p>
        </w:tc>
        <w:tc>
          <w:tcPr/>
          <w:p>
            <w:pPr>
              <w:pStyle w:val="Compact"/>
              <w:jc w:val="left"/>
            </w:pPr>
            <w:r>
              <w:t xml:space="preserve">2,700</w:t>
            </w:r>
          </w:p>
        </w:tc>
      </w:tr>
      <w:tr>
        <w:tc>
          <w:tcPr>
            <w:gridSpan w:val="4"/>
          </w:tcPr>
          <w:p>
            <w:pPr>
              <w:pStyle w:val="Compact"/>
              <w:jc w:val="left"/>
            </w:pPr>
            <w:r>
              <w:t xml:space="preserve">GRAND TOTAL (before VAT)</w:t>
            </w:r>
          </w:p>
        </w:tc>
        <w:tc>
          <w:tcPr/>
          <w:p>
            <w:pPr>
              <w:pStyle w:val="Compact"/>
              <w:jc w:val="left"/>
            </w:pPr>
            <w:r>
              <w:t xml:space="preserve">8,993,000 RUB</w:t>
            </w:r>
          </w:p>
        </w:tc>
        <w:tc>
          <w:tcPr/>
          <w:p>
            <w:pPr>
              <w:pStyle w:val="Compact"/>
              <w:jc w:val="left"/>
            </w:pPr>
            <w:r>
              <w:t xml:space="preserve">96,766 USD</w:t>
            </w:r>
          </w:p>
        </w:tc>
        <w:tc>
          <w:tcPr/>
          <w:p>
            <w:pPr>
              <w:pStyle w:val="Compact"/>
            </w:pPr>
          </w:p>
        </w:tc>
      </w:tr>
      <w:tr>
        <w:tc>
          <w:tcPr>
            <w:gridSpan w:val="4"/>
          </w:tcPr>
          <w:p>
            <w:pPr>
              <w:pStyle w:val="Compact"/>
              <w:jc w:val="left"/>
            </w:pPr>
            <w:r>
              <w:t xml:space="preserve">VAT (20% – Russian Federation)</w:t>
            </w:r>
          </w:p>
        </w:tc>
        <w:tc>
          <w:tcPr/>
          <w:p>
            <w:pPr>
              <w:pStyle w:val="Compact"/>
              <w:jc w:val="left"/>
            </w:pPr>
            <w:r>
              <w:t xml:space="preserve">1,798,600 RUB</w:t>
            </w:r>
          </w:p>
        </w:tc>
        <w:tc>
          <w:tcPr/>
          <w:p>
            <w:pPr>
              <w:pStyle w:val="Compact"/>
              <w:jc w:val="left"/>
            </w:pPr>
            <w:r>
              <w:t xml:space="preserve">19,353 USD</w:t>
            </w:r>
          </w:p>
        </w:tc>
        <w:tc>
          <w:tcPr/>
          <w:p>
            <w:pPr>
              <w:pStyle w:val="Compact"/>
            </w:pPr>
          </w:p>
        </w:tc>
      </w:tr>
      <w:tr>
        <w:tc>
          <w:tcPr>
            <w:gridSpan w:val="4"/>
          </w:tcPr>
          <w:p>
            <w:pPr>
              <w:pStyle w:val="Compact"/>
              <w:jc w:val="left"/>
            </w:pPr>
            <w:r>
              <w:t xml:space="preserve">TOTAL INCLUDING VAT</w:t>
            </w:r>
          </w:p>
        </w:tc>
        <w:tc>
          <w:tcPr/>
          <w:p>
            <w:pPr>
              <w:pStyle w:val="Compact"/>
              <w:jc w:val="left"/>
            </w:pPr>
            <w:r>
              <w:t xml:space="preserve">10,791,600 RUB</w:t>
            </w:r>
          </w:p>
        </w:tc>
        <w:tc>
          <w:tcPr/>
          <w:p>
            <w:pPr>
              <w:pStyle w:val="Compact"/>
              <w:jc w:val="left"/>
            </w:pPr>
            <w:r>
              <w:t xml:space="preserve">116,119 USD</w:t>
            </w:r>
          </w:p>
        </w:tc>
        <w:tc>
          <w:tcPr/>
          <w:p>
            <w:pPr>
              <w:pStyle w:val="Compact"/>
            </w:pPr>
          </w:p>
        </w:tc>
      </w:tr>
    </w:tbl>
    <w:bookmarkEnd w:id="24"/>
    <w:bookmarkStart w:id="25" w:name="payment-terms"/>
    <w:p>
      <w:pPr>
        <w:pStyle w:val="Heading2"/>
      </w:pPr>
      <w:r>
        <w:t xml:space="preserve">4. Payment Terms</w:t>
      </w:r>
    </w:p>
    <w:p>
      <w:pPr>
        <w:pStyle w:val="FirstParagraph"/>
      </w:pPr>
      <w:r>
        <w:t xml:space="preserve">As stipulated in this Quotation Estimate, payment shall be structured as follows:</w:t>
      </w:r>
    </w:p>
    <w:p>
      <w:pPr>
        <w:numPr>
          <w:ilvl w:val="0"/>
          <w:numId w:val="1001"/>
        </w:numPr>
        <w:pStyle w:val="Compact"/>
      </w:pPr>
      <w:r>
        <w:rPr>
          <w:bCs/>
          <w:b/>
        </w:rPr>
        <w:t xml:space="preserve">Advance Payment (30%):</w:t>
      </w:r>
      <w:r>
        <w:t xml:space="preserve"> </w:t>
      </w:r>
      <w:r>
        <w:t xml:space="preserve">Due within 10 business days of contract execution – 3,237,480 RUB / 34,836 USD</w:t>
      </w:r>
    </w:p>
    <w:p>
      <w:pPr>
        <w:numPr>
          <w:ilvl w:val="0"/>
          <w:numId w:val="1001"/>
        </w:numPr>
        <w:pStyle w:val="Compact"/>
      </w:pPr>
      <w:r>
        <w:rPr>
          <w:bCs/>
          <w:b/>
        </w:rPr>
        <w:t xml:space="preserve">Milestone Payment 1 (25%):</w:t>
      </w:r>
      <w:r>
        <w:t xml:space="preserve"> </w:t>
      </w:r>
      <w:r>
        <w:t xml:space="preserve">Due upon completion of Months 1–4 deliverables – 2,697,900 RUB / 29,030 USD</w:t>
      </w:r>
    </w:p>
    <w:p>
      <w:pPr>
        <w:numPr>
          <w:ilvl w:val="0"/>
          <w:numId w:val="1001"/>
        </w:numPr>
        <w:pStyle w:val="Compact"/>
      </w:pPr>
      <w:r>
        <w:rPr>
          <w:bCs/>
          <w:b/>
        </w:rPr>
        <w:t xml:space="preserve">Milestone Payment 2 (25%):</w:t>
      </w:r>
      <w:r>
        <w:t xml:space="preserve"> </w:t>
      </w:r>
      <w:r>
        <w:t xml:space="preserve">Due upon completion of Months 5–8 deliverables – 2,697,900 RUB / 29,030 USD</w:t>
      </w:r>
    </w:p>
    <w:p>
      <w:pPr>
        <w:numPr>
          <w:ilvl w:val="0"/>
          <w:numId w:val="1001"/>
        </w:numPr>
        <w:pStyle w:val="Compact"/>
      </w:pPr>
      <w:r>
        <w:rPr>
          <w:bCs/>
          <w:b/>
        </w:rPr>
        <w:t xml:space="preserve">Final Payment (20%):</w:t>
      </w:r>
      <w:r>
        <w:t xml:space="preserve"> </w:t>
      </w:r>
      <w:r>
        <w:t xml:space="preserve">Due upon project closure and final knowledge transfer in Month 12 – 2,158,320 RUB / 23,223 USD</w:t>
      </w:r>
    </w:p>
    <w:p>
      <w:pPr>
        <w:pStyle w:val="FirstParagraph"/>
      </w:pPr>
      <w:r>
        <w:t xml:space="preserve">All payments shall be made via bank transfer to the account of Meridian Strategic Advisory Group LLC, Sberbank, Saint Petersburg branch. Invoices will be issued in accordance with Russian Federation tax legislation. Late payments shall accrue interest at 0.1% per calendar day as permitted under the Civil Code of the Russian Federation.</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Beyond this period, pricing may be subject to revision based on market conditions in Russia Saint Petersburg.</w:t>
      </w:r>
    </w:p>
    <w:p>
      <w:pPr>
        <w:numPr>
          <w:ilvl w:val="0"/>
          <w:numId w:val="1002"/>
        </w:numPr>
        <w:pStyle w:val="Compact"/>
      </w:pPr>
      <w:r>
        <w:t xml:space="preserve">The Business Consultant shall maintain full confidentiality of all client information in compliance with Federal Law No. 152-FZ "On Personal Data" and applicable commercial secrecy regulations.</w:t>
      </w:r>
    </w:p>
    <w:p>
      <w:pPr>
        <w:numPr>
          <w:ilvl w:val="0"/>
          <w:numId w:val="1002"/>
        </w:numPr>
        <w:pStyle w:val="Compact"/>
      </w:pPr>
      <w:r>
        <w:t xml:space="preserve">All intellectual property created specifically for the client under this engagement shall transfer to the client upon full payment. Pre-existing methodologies, templates, and frameworks remain the property of Meridian Strategic Advisory Group LLC.</w:t>
      </w:r>
    </w:p>
    <w:p>
      <w:pPr>
        <w:numPr>
          <w:ilvl w:val="0"/>
          <w:numId w:val="1002"/>
        </w:numPr>
        <w:pStyle w:val="Compact"/>
      </w:pPr>
      <w:r>
        <w:t xml:space="preserve">The Business Consultant reserves the right to substitute personnel of equivalent or superior qualification with 14 days' written notice, provided the client's prior written consent is obtained.</w:t>
      </w:r>
    </w:p>
    <w:p>
      <w:pPr>
        <w:numPr>
          <w:ilvl w:val="0"/>
          <w:numId w:val="1002"/>
        </w:numPr>
        <w:pStyle w:val="Compact"/>
      </w:pPr>
      <w:r>
        <w:t xml:space="preserve">Force majeure events, including but not limited to government sanctions, regulatory changes, or natural disasters affecting Russia Saint Petersburg, shall suspend obligations without penalty for a period not exceeding 60 days.</w:t>
      </w:r>
    </w:p>
    <w:p>
      <w:pPr>
        <w:numPr>
          <w:ilvl w:val="0"/>
          <w:numId w:val="1002"/>
        </w:numPr>
        <w:pStyle w:val="Compact"/>
      </w:pPr>
      <w:r>
        <w:t xml:space="preserve">Disputes arising from this Quotation Estimate and the resulting contract shall be resolved through arbitration at the Arbitration Court of Saint Petersburg and the Leningrad Region, in accordance with the Arbitration Procedure Code of the Russian Federation.</w:t>
      </w:r>
    </w:p>
    <w:p>
      <w:pPr>
        <w:numPr>
          <w:ilvl w:val="0"/>
          <w:numId w:val="1002"/>
        </w:numPr>
        <w:pStyle w:val="Compact"/>
      </w:pPr>
      <w:r>
        <w:t xml:space="preserve">This Quotation Estimate does not constitute a binding contract until both parties execute the formal Service Agreement. The terms herein serve as the commercial foundation for such an agreement.</w:t>
      </w:r>
    </w:p>
    <w:p>
      <w:pPr>
        <w:numPr>
          <w:ilvl w:val="0"/>
          <w:numId w:val="1002"/>
        </w:numPr>
        <w:pStyle w:val="Compact"/>
      </w:pPr>
      <w:r>
        <w:t xml:space="preserve">All services shall be performed in full compliance with the laws of the Russian Federation, including but not limited to the Tax Code, the Civil Code, and applicable Federal Laws governing consulting and advisory services.</w:t>
      </w:r>
    </w:p>
    <w:bookmarkEnd w:id="26"/>
    <w:bookmarkStart w:id="27" w:name="assumptions-and-exclusions"/>
    <w:p>
      <w:pPr>
        <w:pStyle w:val="Heading2"/>
      </w:pPr>
      <w:r>
        <w:t xml:space="preserve">6. Assumptions and Exclusions</w:t>
      </w:r>
    </w:p>
    <w:p>
      <w:pPr>
        <w:numPr>
          <w:ilvl w:val="0"/>
          <w:numId w:val="1003"/>
        </w:numPr>
        <w:pStyle w:val="Compact"/>
      </w:pPr>
      <w:r>
        <w:t xml:space="preserve">This Quotation Estimate assumes the client will provide timely access to all relevant internal data, systems, and personnel necessary for the Business Consultant to perform the scoped services.</w:t>
      </w:r>
    </w:p>
    <w:p>
      <w:pPr>
        <w:numPr>
          <w:ilvl w:val="0"/>
          <w:numId w:val="1003"/>
        </w:numPr>
        <w:pStyle w:val="Compact"/>
      </w:pPr>
      <w:r>
        <w:t xml:space="preserve">International travel outside of Russia Saint Petersburg is excluded and will be billed at cost plus 15% administrative surcharge if required.</w:t>
      </w:r>
    </w:p>
    <w:p>
      <w:pPr>
        <w:numPr>
          <w:ilvl w:val="0"/>
          <w:numId w:val="1003"/>
        </w:numPr>
        <w:pStyle w:val="Compact"/>
      </w:pPr>
      <w:r>
        <w:t xml:space="preserve">Third-party software licenses, external audit fees, and legal counsel costs are excluded from this Quotation Estimate.</w:t>
      </w:r>
    </w:p>
    <w:p>
      <w:pPr>
        <w:numPr>
          <w:ilvl w:val="0"/>
          <w:numId w:val="1003"/>
        </w:numPr>
        <w:pStyle w:val="Compact"/>
      </w:pPr>
      <w:r>
        <w:t xml:space="preserve">Hours exceeding the allocated scope by more than 10% will require a formal change order signed by both parties before additional work commences.</w:t>
      </w:r>
    </w:p>
    <w:bookmarkEnd w:id="27"/>
    <w:bookmarkStart w:id="28" w:name="acceptance-and-authorization"/>
    <w:p>
      <w:pPr>
        <w:pStyle w:val="Heading2"/>
      </w:pPr>
      <w:r>
        <w:t xml:space="preserve">7. Acceptance and Authorization</w:t>
      </w:r>
    </w:p>
    <w:p>
      <w:pPr>
        <w:pStyle w:val="FirstParagraph"/>
      </w:pPr>
      <w:r>
        <w:t xml:space="preserve">By signing below, both parties acknowledge that this Quotation Estimate accurately represents the commercial terms for the engagement of the Business Consultant for services to be delivered in Russia Saint Petersburg. This document shall serve as the basis for the execution of the definitive Service Agreement.</w:t>
      </w:r>
    </w:p>
    <w:p>
      <w:pPr>
        <w:pStyle w:val="BodyText"/>
      </w:pPr>
      <w:r>
        <w:rPr>
          <w:bCs/>
          <w:b/>
        </w:rPr>
        <w:t xml:space="preserve">For Meridian Strategic Advisory Group LLC:</w:t>
      </w:r>
    </w:p>
    <w:p>
      <w:pPr>
        <w:pStyle w:val="BodyText"/>
      </w:pPr>
      <w:r>
        <w:t xml:space="preserve">Alexei V. Petrov</w:t>
      </w:r>
    </w:p>
    <w:p>
      <w:pPr>
        <w:pStyle w:val="BodyText"/>
      </w:pPr>
      <w:r>
        <w:t xml:space="preserve">Managing Director</w:t>
      </w:r>
    </w:p>
    <w:p>
      <w:pPr>
        <w:pStyle w:val="BodyText"/>
      </w:pPr>
      <w:r>
        <w:t xml:space="preserve">Date: _______________</w:t>
      </w:r>
    </w:p>
    <w:p>
      <w:pPr>
        <w:pStyle w:val="BodyText"/>
      </w:pPr>
      <w:r>
        <w:rPr>
          <w:bCs/>
          <w:b/>
        </w:rPr>
        <w:t xml:space="preserve">For the Client:</w:t>
      </w:r>
    </w:p>
    <w:p>
      <w:pPr>
        <w:pStyle w:val="BodyText"/>
      </w:pPr>
      <w:r>
        <w:t xml:space="preserve">[Authorized Signatory Name]</w:t>
      </w:r>
    </w:p>
    <w:p>
      <w:pPr>
        <w:pStyle w:val="BodyText"/>
      </w:pPr>
      <w:r>
        <w:t xml:space="preserve">[Title]</w:t>
      </w:r>
    </w:p>
    <w:p>
      <w:pPr>
        <w:pStyle w:val="BodyText"/>
      </w:pPr>
      <w:r>
        <w:t xml:space="preserve">Date: _______________</w:t>
      </w:r>
    </w:p>
    <w:p>
      <w:pPr>
        <w:pStyle w:val="BodyText"/>
      </w:pPr>
      <w:r>
        <w:t xml:space="preserve">Meridian Strategic Advisory Group LLC | 12 Nevsky Prospekt, Saint Petersburg, 191025, Russia | INN: 7805123456</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QTE-2025-SPB-00847 |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Russia Saint Petersburg</dc:title>
  <dc:creator/>
  <dc:language>en</dc:language>
  <cp:keywords/>
  <dcterms:created xsi:type="dcterms:W3CDTF">2026-10-10T08:14:57Z</dcterms:created>
  <dcterms:modified xsi:type="dcterms:W3CDTF">2026-10-10T08:14:57Z</dcterms:modified>
</cp:coreProperties>
</file>

<file path=docProps/custom.xml><?xml version="1.0" encoding="utf-8"?>
<Properties xmlns="http://schemas.openxmlformats.org/officeDocument/2006/custom-properties" xmlns:vt="http://schemas.openxmlformats.org/officeDocument/2006/docPropsVTypes"/>
</file>