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quotation-estimate"/>
    <w:p>
      <w:pPr>
        <w:pStyle w:val="Heading1"/>
      </w:pPr>
      <w:r>
        <w:t xml:space="preserve">Quotation Estimate</w:t>
      </w:r>
    </w:p>
    <w:p>
      <w:pPr>
        <w:pStyle w:val="FirstParagraph"/>
      </w:pPr>
      <w:r>
        <w:rPr>
          <w:bCs/>
          <w:b/>
        </w:rPr>
        <w:t xml:space="preserve">Al-Nakheel Business Consulting Group</w:t>
      </w:r>
    </w:p>
    <w:p>
      <w:pPr>
        <w:pStyle w:val="BodyText"/>
      </w:pPr>
      <w:r>
        <w:t xml:space="preserve">Office 1204, Kingdom Tower, King Fahd Road, Al Shati, Jeddah 23412, Saudi Arabia</w:t>
      </w:r>
    </w:p>
    <w:p>
      <w:pPr>
        <w:pStyle w:val="BodyText"/>
      </w:pPr>
      <w:r>
        <w:t xml:space="preserve">Tel: +966 12 655 4321 | Email: quotations@alnakheelconsulting.sa | CR: 1010456789</w:t>
      </w:r>
    </w:p>
    <w:bookmarkEnd w:id="20"/>
    <w:p>
      <w:pPr>
        <w:pStyle w:val="BodyText"/>
      </w:pPr>
      <w:r>
        <w:rPr>
          <w:bCs/>
          <w:b/>
        </w:rPr>
        <w:t xml:space="preserve">Quotation No.:</w:t>
      </w:r>
      <w:r>
        <w:t xml:space="preserve"> </w:t>
      </w:r>
      <w:r>
        <w:t xml:space="preserve">QE-2025-JED-0487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Al-Rashid Trading &amp; Logistics Co.</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Al-Nakheel Business Consulting Group to Al-Rashid Trading &amp; Logistics Co. for the engagement of a senior</w:t>
      </w:r>
      <w:r>
        <w:t xml:space="preserve"> </w:t>
      </w:r>
      <w:r>
        <w:t xml:space="preserve">Business Consultant</w:t>
      </w:r>
      <w:r>
        <w:t xml:space="preserve"> </w:t>
      </w:r>
      <w:r>
        <w:t xml:space="preserve">to provide comprehensive strategic advisory services. The scope of this engagement is specifically tailored to the operational, regulatory, and market environment of</w:t>
      </w:r>
      <w:r>
        <w:t xml:space="preserve"> </w:t>
      </w:r>
      <w:r>
        <w:t xml:space="preserve">Saudi Arabia Jeddah</w:t>
      </w:r>
      <w:r>
        <w:t xml:space="preserve">, taking into account the unique commercial landscape, Vision 2030 alignment requirements, and the competitive dynamics of the Jeddah metropolitan business district. This document outlines all deliverables, timelines, associated costs, and contractual terms governing the proposed consultancy engagement.</w:t>
      </w:r>
    </w:p>
    <w:bookmarkEnd w:id="21"/>
    <w:bookmarkStart w:id="22" w:name="X38c04614c6852dc42671939c78d168ce144be86"/>
    <w:p>
      <w:pPr>
        <w:pStyle w:val="Heading2"/>
      </w:pPr>
      <w:r>
        <w:t xml:space="preserve">2. Scope of Services – Business Consultant Engagement</w:t>
      </w:r>
    </w:p>
    <w:p>
      <w:pPr>
        <w:pStyle w:val="FirstParagraph"/>
      </w:pPr>
      <w:r>
        <w:t xml:space="preserve">The appointed</w:t>
      </w:r>
      <w:r>
        <w:t xml:space="preserve"> </w:t>
      </w:r>
      <w:r>
        <w:t xml:space="preserve">Business Consultant</w:t>
      </w:r>
      <w:r>
        <w:t xml:space="preserve"> </w:t>
      </w:r>
      <w:r>
        <w:t xml:space="preserve">will deliver the following services to the client, all conducted primarily at the client's premises in Jeddah, Saudi Arabia, with periodic on-site visits to the Kingdom Tower office:</w:t>
      </w:r>
    </w:p>
    <w:p>
      <w:pPr>
        <w:numPr>
          <w:ilvl w:val="0"/>
          <w:numId w:val="1001"/>
        </w:numPr>
        <w:pStyle w:val="Compact"/>
      </w:pPr>
      <w:r>
        <w:rPr>
          <w:bCs/>
          <w:b/>
        </w:rPr>
        <w:t xml:space="preserve">Strategic Business Planning:</w:t>
      </w:r>
      <w:r>
        <w:t xml:space="preserve"> </w:t>
      </w:r>
      <w:r>
        <w:t xml:space="preserve">Development of a five-year strategic roadmap aligned with Saudi Arabia Jeddah market conditions, including sector-specific growth projections for the trading and logistics industry.</w:t>
      </w:r>
    </w:p>
    <w:p>
      <w:pPr>
        <w:numPr>
          <w:ilvl w:val="0"/>
          <w:numId w:val="1001"/>
        </w:numPr>
        <w:pStyle w:val="Compact"/>
      </w:pPr>
      <w:r>
        <w:rPr>
          <w:bCs/>
          <w:b/>
        </w:rPr>
        <w:t xml:space="preserve">Operational Efficiency Audit:</w:t>
      </w:r>
      <w:r>
        <w:t xml:space="preserve"> </w:t>
      </w:r>
      <w:r>
        <w:t xml:space="preserve">A thorough review of current supply chain operations, warehouse management systems, and distribution networks operating within the Jeddah port corridor and surrounding industrial zones.</w:t>
      </w:r>
    </w:p>
    <w:p>
      <w:pPr>
        <w:numPr>
          <w:ilvl w:val="0"/>
          <w:numId w:val="1001"/>
        </w:numPr>
        <w:pStyle w:val="Compact"/>
      </w:pPr>
      <w:r>
        <w:rPr>
          <w:bCs/>
          <w:b/>
        </w:rPr>
        <w:t xml:space="preserve">Regulatory Compliance Advisory:</w:t>
      </w:r>
      <w:r>
        <w:t xml:space="preserve"> </w:t>
      </w:r>
      <w:r>
        <w:t xml:space="preserve">Guidance on all applicable Saudi Arabian commercial regulations, including but not limited to the Companies Law, Zakat and Tax Authority (ZATCA) obligations, and the new Foreign Investment regulations effective in the Kingdom.</w:t>
      </w:r>
    </w:p>
    <w:p>
      <w:pPr>
        <w:numPr>
          <w:ilvl w:val="0"/>
          <w:numId w:val="1001"/>
        </w:numPr>
        <w:pStyle w:val="Compact"/>
      </w:pPr>
      <w:r>
        <w:rPr>
          <w:bCs/>
          <w:b/>
        </w:rPr>
        <w:t xml:space="preserve">Market Entry and Expansion Strategy:</w:t>
      </w:r>
      <w:r>
        <w:t xml:space="preserve"> </w:t>
      </w:r>
      <w:r>
        <w:t xml:space="preserve">Analysis of competitive positioning within the Saudi Arabia Jeddah commercial ecosystem, identification of untapped market segments, and formulation of actionable expansion plans.</w:t>
      </w:r>
    </w:p>
    <w:p>
      <w:pPr>
        <w:numPr>
          <w:ilvl w:val="0"/>
          <w:numId w:val="1001"/>
        </w:numPr>
        <w:pStyle w:val="Compact"/>
      </w:pPr>
      <w:r>
        <w:rPr>
          <w:bCs/>
          <w:b/>
        </w:rPr>
        <w:t xml:space="preserve">Organizational Development:</w:t>
      </w:r>
      <w:r>
        <w:t xml:space="preserve"> </w:t>
      </w:r>
      <w:r>
        <w:t xml:space="preserve">Assessment of internal governance structures, leadership capabilities, and workforce planning to support sustainable growth in the Saudi market.</w:t>
      </w:r>
    </w:p>
    <w:p>
      <w:pPr>
        <w:numPr>
          <w:ilvl w:val="0"/>
          <w:numId w:val="1001"/>
        </w:numPr>
        <w:pStyle w:val="Compact"/>
      </w:pPr>
      <w:r>
        <w:rPr>
          <w:bCs/>
          <w:b/>
        </w:rPr>
        <w:t xml:space="preserve">Technology and Digital Transformation Advisory:</w:t>
      </w:r>
      <w:r>
        <w:t xml:space="preserve"> </w:t>
      </w:r>
      <w:r>
        <w:t xml:space="preserve">Recommendations for adopting digital tools and automation solutions suited to the logistics and trading operations in Jeddah.</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 Deliverable</w:t>
            </w:r>
          </w:p>
        </w:tc>
        <w:tc>
          <w:tcPr/>
          <w:p>
            <w:pPr>
              <w:pStyle w:val="Compact"/>
              <w:jc w:val="left"/>
            </w:pPr>
            <w:r>
              <w:t xml:space="preserve">Duration</w:t>
            </w:r>
          </w:p>
        </w:tc>
        <w:tc>
          <w:tcPr/>
          <w:p>
            <w:pPr>
              <w:pStyle w:val="Compact"/>
              <w:jc w:val="left"/>
            </w:pPr>
            <w:r>
              <w:t xml:space="preserve">Rate (SAR)</w:t>
            </w:r>
          </w:p>
        </w:tc>
        <w:tc>
          <w:tcPr/>
          <w:p>
            <w:pPr>
              <w:pStyle w:val="Compact"/>
              <w:jc w:val="left"/>
            </w:pPr>
            <w:r>
              <w:t xml:space="preserve">Amount (SAR)</w:t>
            </w:r>
          </w:p>
        </w:tc>
      </w:tr>
      <w:tr>
        <w:tc>
          <w:tcPr/>
          <w:p>
            <w:pPr>
              <w:pStyle w:val="Compact"/>
              <w:jc w:val="left"/>
            </w:pPr>
            <w:r>
              <w:t xml:space="preserve">01</w:t>
            </w:r>
          </w:p>
        </w:tc>
        <w:tc>
          <w:tcPr/>
          <w:p>
            <w:pPr>
              <w:pStyle w:val="Compact"/>
              <w:jc w:val="left"/>
            </w:pPr>
            <w:r>
              <w:t xml:space="preserve">Strategic Business Planning &amp; Roadmap Development</w:t>
            </w:r>
          </w:p>
        </w:tc>
        <w:tc>
          <w:tcPr/>
          <w:p>
            <w:pPr>
              <w:pStyle w:val="Compact"/>
              <w:jc w:val="left"/>
            </w:pPr>
            <w:r>
              <w:t xml:space="preserve">4 weeks</w:t>
            </w:r>
          </w:p>
        </w:tc>
        <w:tc>
          <w:tcPr/>
          <w:p>
            <w:pPr>
              <w:pStyle w:val="Compact"/>
              <w:jc w:val="left"/>
            </w:pPr>
            <w:r>
              <w:t xml:space="preserve">18,000 / week</w:t>
            </w:r>
          </w:p>
        </w:tc>
        <w:tc>
          <w:tcPr/>
          <w:p>
            <w:pPr>
              <w:pStyle w:val="Compact"/>
              <w:jc w:val="left"/>
            </w:pPr>
            <w:r>
              <w:t xml:space="preserve">72,000.00</w:t>
            </w:r>
          </w:p>
        </w:tc>
      </w:tr>
      <w:tr>
        <w:tc>
          <w:tcPr/>
          <w:p>
            <w:pPr>
              <w:pStyle w:val="Compact"/>
              <w:jc w:val="left"/>
            </w:pPr>
            <w:r>
              <w:t xml:space="preserve">02</w:t>
            </w:r>
          </w:p>
        </w:tc>
        <w:tc>
          <w:tcPr/>
          <w:p>
            <w:pPr>
              <w:pStyle w:val="Compact"/>
              <w:jc w:val="left"/>
            </w:pPr>
            <w:r>
              <w:t xml:space="preserve">Operational Efficiency Audit (Jeddah Port Corridor)</w:t>
            </w:r>
          </w:p>
        </w:tc>
        <w:tc>
          <w:tcPr/>
          <w:p>
            <w:pPr>
              <w:pStyle w:val="Compact"/>
              <w:jc w:val="left"/>
            </w:pPr>
            <w:r>
              <w:t xml:space="preserve">3 weeks</w:t>
            </w:r>
          </w:p>
        </w:tc>
        <w:tc>
          <w:tcPr/>
          <w:p>
            <w:pPr>
              <w:pStyle w:val="Compact"/>
              <w:jc w:val="left"/>
            </w:pPr>
            <w:r>
              <w:t xml:space="preserve">15,000 / week</w:t>
            </w:r>
          </w:p>
        </w:tc>
        <w:tc>
          <w:tcPr/>
          <w:p>
            <w:pPr>
              <w:pStyle w:val="Compact"/>
              <w:jc w:val="left"/>
            </w:pPr>
            <w:r>
              <w:t xml:space="preserve">45,000.00</w:t>
            </w:r>
          </w:p>
        </w:tc>
      </w:tr>
      <w:tr>
        <w:tc>
          <w:tcPr/>
          <w:p>
            <w:pPr>
              <w:pStyle w:val="Compact"/>
              <w:jc w:val="left"/>
            </w:pPr>
            <w:r>
              <w:t xml:space="preserve">03</w:t>
            </w:r>
          </w:p>
        </w:tc>
        <w:tc>
          <w:tcPr/>
          <w:p>
            <w:pPr>
              <w:pStyle w:val="Compact"/>
              <w:jc w:val="left"/>
            </w:pPr>
            <w:r>
              <w:t xml:space="preserve">Regulatory Compliance Advisory &amp; ZATCA Alignment</w:t>
            </w:r>
          </w:p>
        </w:tc>
        <w:tc>
          <w:tcPr/>
          <w:p>
            <w:pPr>
              <w:pStyle w:val="Compact"/>
              <w:jc w:val="left"/>
            </w:pPr>
            <w:r>
              <w:t xml:space="preserve">2 weeks</w:t>
            </w:r>
          </w:p>
        </w:tc>
        <w:tc>
          <w:tcPr/>
          <w:p>
            <w:pPr>
              <w:pStyle w:val="Compact"/>
              <w:jc w:val="left"/>
            </w:pPr>
            <w:r>
              <w:t xml:space="preserve">14,000 / week</w:t>
            </w:r>
          </w:p>
        </w:tc>
        <w:tc>
          <w:tcPr/>
          <w:p>
            <w:pPr>
              <w:pStyle w:val="Compact"/>
              <w:jc w:val="left"/>
            </w:pPr>
            <w:r>
              <w:t xml:space="preserve">28,000.00</w:t>
            </w:r>
          </w:p>
        </w:tc>
      </w:tr>
      <w:tr>
        <w:tc>
          <w:tcPr/>
          <w:p>
            <w:pPr>
              <w:pStyle w:val="Compact"/>
              <w:jc w:val="left"/>
            </w:pPr>
            <w:r>
              <w:t xml:space="preserve">04</w:t>
            </w:r>
          </w:p>
        </w:tc>
        <w:tc>
          <w:tcPr/>
          <w:p>
            <w:pPr>
              <w:pStyle w:val="Compact"/>
              <w:jc w:val="left"/>
            </w:pPr>
            <w:r>
              <w:t xml:space="preserve">Market Entry &amp; Expansion Strategy (Saudi Arabia Jeddah)</w:t>
            </w:r>
          </w:p>
        </w:tc>
        <w:tc>
          <w:tcPr/>
          <w:p>
            <w:pPr>
              <w:pStyle w:val="Compact"/>
              <w:jc w:val="left"/>
            </w:pPr>
            <w:r>
              <w:t xml:space="preserve">3 weeks</w:t>
            </w:r>
          </w:p>
        </w:tc>
        <w:tc>
          <w:tcPr/>
          <w:p>
            <w:pPr>
              <w:pStyle w:val="Compact"/>
              <w:jc w:val="left"/>
            </w:pPr>
            <w:r>
              <w:t xml:space="preserve">16,000 / week</w:t>
            </w:r>
          </w:p>
        </w:tc>
        <w:tc>
          <w:tcPr/>
          <w:p>
            <w:pPr>
              <w:pStyle w:val="Compact"/>
              <w:jc w:val="left"/>
            </w:pPr>
            <w:r>
              <w:t xml:space="preserve">48,000.00</w:t>
            </w:r>
          </w:p>
        </w:tc>
      </w:tr>
      <w:tr>
        <w:tc>
          <w:tcPr/>
          <w:p>
            <w:pPr>
              <w:pStyle w:val="Compact"/>
              <w:jc w:val="left"/>
            </w:pPr>
            <w:r>
              <w:t xml:space="preserve">05</w:t>
            </w:r>
          </w:p>
        </w:tc>
        <w:tc>
          <w:tcPr/>
          <w:p>
            <w:pPr>
              <w:pStyle w:val="Compact"/>
              <w:jc w:val="left"/>
            </w:pPr>
            <w:r>
              <w:t xml:space="preserve">Organizational Development &amp; Governance Review</w:t>
            </w:r>
          </w:p>
        </w:tc>
        <w:tc>
          <w:tcPr/>
          <w:p>
            <w:pPr>
              <w:pStyle w:val="Compact"/>
              <w:jc w:val="left"/>
            </w:pPr>
            <w:r>
              <w:t xml:space="preserve">2 weeks</w:t>
            </w:r>
          </w:p>
        </w:tc>
        <w:tc>
          <w:tcPr/>
          <w:p>
            <w:pPr>
              <w:pStyle w:val="Compact"/>
              <w:jc w:val="left"/>
            </w:pPr>
            <w:r>
              <w:t xml:space="preserve">13,000 / week</w:t>
            </w:r>
          </w:p>
        </w:tc>
        <w:tc>
          <w:tcPr/>
          <w:p>
            <w:pPr>
              <w:pStyle w:val="Compact"/>
              <w:jc w:val="left"/>
            </w:pPr>
            <w:r>
              <w:t xml:space="preserve">26,000.00</w:t>
            </w:r>
          </w:p>
        </w:tc>
      </w:tr>
      <w:tr>
        <w:tc>
          <w:tcPr/>
          <w:p>
            <w:pPr>
              <w:pStyle w:val="Compact"/>
              <w:jc w:val="left"/>
            </w:pPr>
            <w:r>
              <w:t xml:space="preserve">06</w:t>
            </w:r>
          </w:p>
        </w:tc>
        <w:tc>
          <w:tcPr/>
          <w:p>
            <w:pPr>
              <w:pStyle w:val="Compact"/>
              <w:jc w:val="left"/>
            </w:pPr>
            <w:r>
              <w:t xml:space="preserve">Digital Transformation Advisory &amp; Implementation Plan</w:t>
            </w:r>
          </w:p>
        </w:tc>
        <w:tc>
          <w:tcPr/>
          <w:p>
            <w:pPr>
              <w:pStyle w:val="Compact"/>
              <w:jc w:val="left"/>
            </w:pPr>
            <w:r>
              <w:t xml:space="preserve">2 weeks</w:t>
            </w:r>
          </w:p>
        </w:tc>
        <w:tc>
          <w:tcPr/>
          <w:p>
            <w:pPr>
              <w:pStyle w:val="Compact"/>
              <w:jc w:val="left"/>
            </w:pPr>
            <w:r>
              <w:t xml:space="preserve">14,500 / week</w:t>
            </w:r>
          </w:p>
        </w:tc>
        <w:tc>
          <w:tcPr/>
          <w:p>
            <w:pPr>
              <w:pStyle w:val="Compact"/>
              <w:jc w:val="left"/>
            </w:pPr>
            <w:r>
              <w:t xml:space="preserve">29,000.00</w:t>
            </w:r>
          </w:p>
        </w:tc>
      </w:tr>
      <w:tr>
        <w:tc>
          <w:tcPr/>
          <w:p>
            <w:pPr>
              <w:pStyle w:val="Compact"/>
              <w:jc w:val="left"/>
            </w:pPr>
            <w:r>
              <w:t xml:space="preserve">07</w:t>
            </w:r>
          </w:p>
        </w:tc>
        <w:tc>
          <w:tcPr/>
          <w:p>
            <w:pPr>
              <w:pStyle w:val="Compact"/>
              <w:jc w:val="left"/>
            </w:pPr>
            <w:r>
              <w:t xml:space="preserve">Final Consolidated Report &amp; Executive Presentation</w:t>
            </w:r>
          </w:p>
        </w:tc>
        <w:tc>
          <w:tcPr/>
          <w:p>
            <w:pPr>
              <w:pStyle w:val="Compact"/>
              <w:jc w:val="left"/>
            </w:pPr>
            <w:r>
              <w:t xml:space="preserve">1 week</w:t>
            </w:r>
          </w:p>
        </w:tc>
        <w:tc>
          <w:tcPr/>
          <w:p>
            <w:pPr>
              <w:pStyle w:val="Compact"/>
              <w:jc w:val="left"/>
            </w:pPr>
            <w:r>
              <w:t xml:space="preserve">12,000 / week</w:t>
            </w:r>
          </w:p>
        </w:tc>
        <w:tc>
          <w:tcPr/>
          <w:p>
            <w:pPr>
              <w:pStyle w:val="Compact"/>
              <w:jc w:val="left"/>
            </w:pPr>
            <w:r>
              <w:t xml:space="preserve">12,000.00</w:t>
            </w:r>
          </w:p>
        </w:tc>
      </w:tr>
      <w:tr>
        <w:tc>
          <w:tcPr/>
          <w:p>
            <w:pPr>
              <w:pStyle w:val="Compact"/>
              <w:jc w:val="left"/>
            </w:pPr>
            <w:r>
              <w:t xml:space="preserve">08</w:t>
            </w:r>
          </w:p>
        </w:tc>
        <w:tc>
          <w:tcPr/>
          <w:p>
            <w:pPr>
              <w:pStyle w:val="Compact"/>
              <w:jc w:val="left"/>
            </w:pPr>
            <w:r>
              <w:t xml:space="preserve">Post-Engagement Support (3 months, remote &amp; on-site in Jeddah)</w:t>
            </w:r>
          </w:p>
        </w:tc>
        <w:tc>
          <w:tcPr/>
          <w:p>
            <w:pPr>
              <w:pStyle w:val="Compact"/>
              <w:jc w:val="left"/>
            </w:pPr>
            <w:r>
              <w:t xml:space="preserve">3 months</w:t>
            </w:r>
          </w:p>
        </w:tc>
        <w:tc>
          <w:tcPr/>
          <w:p>
            <w:pPr>
              <w:pStyle w:val="Compact"/>
              <w:jc w:val="left"/>
            </w:pPr>
            <w:r>
              <w:t xml:space="preserve">8,000 / month</w:t>
            </w:r>
          </w:p>
        </w:tc>
        <w:tc>
          <w:tcPr/>
          <w:p>
            <w:pPr>
              <w:pStyle w:val="Compact"/>
              <w:jc w:val="left"/>
            </w:pPr>
            <w:r>
              <w:t xml:space="preserve">24,000.00</w:t>
            </w:r>
          </w:p>
        </w:tc>
      </w:tr>
      <w:tr>
        <w:tc>
          <w:tcPr>
            <w:gridSpan w:val="4"/>
          </w:tcPr>
          <w:p>
            <w:pPr>
              <w:pStyle w:val="Compact"/>
              <w:jc w:val="right"/>
            </w:pPr>
            <w:r>
              <w:t xml:space="preserve">Subtotal (SAR)</w:t>
            </w:r>
          </w:p>
        </w:tc>
        <w:tc>
          <w:tcPr/>
          <w:p>
            <w:pPr>
              <w:pStyle w:val="Compact"/>
              <w:jc w:val="left"/>
            </w:pPr>
            <w:r>
              <w:t xml:space="preserve">284,000.00</w:t>
            </w:r>
          </w:p>
        </w:tc>
      </w:tr>
      <w:tr>
        <w:tc>
          <w:tcPr>
            <w:gridSpan w:val="4"/>
          </w:tcPr>
          <w:p>
            <w:pPr>
              <w:pStyle w:val="Compact"/>
              <w:jc w:val="right"/>
            </w:pPr>
            <w:r>
              <w:t xml:space="preserve">VAT @ 15% (Saudi Arabia)</w:t>
            </w:r>
          </w:p>
        </w:tc>
        <w:tc>
          <w:tcPr/>
          <w:p>
            <w:pPr>
              <w:pStyle w:val="Compact"/>
              <w:jc w:val="left"/>
            </w:pPr>
            <w:r>
              <w:t xml:space="preserve">42,600.00</w:t>
            </w:r>
          </w:p>
        </w:tc>
      </w:tr>
      <w:tr>
        <w:tc>
          <w:tcPr>
            <w:gridSpan w:val="4"/>
          </w:tcPr>
          <w:p>
            <w:pPr>
              <w:pStyle w:val="Compact"/>
              <w:jc w:val="right"/>
            </w:pPr>
            <w:r>
              <w:t xml:space="preserve">TOTAL AMOUNT DUE (SAR)</w:t>
            </w:r>
          </w:p>
        </w:tc>
        <w:tc>
          <w:tcPr/>
          <w:p>
            <w:pPr>
              <w:pStyle w:val="Compact"/>
              <w:jc w:val="left"/>
            </w:pPr>
            <w:r>
              <w:t xml:space="preserve">326,600.00</w:t>
            </w:r>
          </w:p>
        </w:tc>
      </w:tr>
    </w:tbl>
    <w:p>
      <w:pPr>
        <w:pStyle w:val="BodyText"/>
      </w:pPr>
      <w:r>
        <w:rPr>
          <w:bCs/>
          <w:b/>
        </w:rPr>
        <w:t xml:space="preserve">Note:</w:t>
      </w:r>
      <w:r>
        <w:t xml:space="preserve"> </w:t>
      </w:r>
      <w:r>
        <w:t xml:space="preserve">All rates quoted in this Quotation Estimate are in Saudi Riyals (SAR) and are inclusive of the Business Consultant's travel within Jeddah, Saudi Arabia. Inter-city travel to other regions of the Kingdom, if required, will be billed at actual cost with prior written approval. The 15% VAT is applied in accordance with the Saudi Arabian Value Added Tax regulations administered by ZATCA.</w:t>
      </w:r>
    </w:p>
    <w:bookmarkEnd w:id="23"/>
    <w:bookmarkStart w:id="24" w:name="payment-terms"/>
    <w:p>
      <w:pPr>
        <w:pStyle w:val="Heading2"/>
      </w:pPr>
      <w:r>
        <w:t xml:space="preserve">4. Payment Terms</w:t>
      </w:r>
    </w:p>
    <w:p>
      <w:pPr>
        <w:numPr>
          <w:ilvl w:val="0"/>
          <w:numId w:val="1002"/>
        </w:numPr>
        <w:pStyle w:val="Compact"/>
      </w:pPr>
      <w:r>
        <w:rPr>
          <w:bCs/>
          <w:b/>
        </w:rPr>
        <w:t xml:space="preserve">Advance Payment:</w:t>
      </w:r>
      <w:r>
        <w:t xml:space="preserve"> </w:t>
      </w:r>
      <w:r>
        <w:t xml:space="preserve">30% of the total Quotation Estimate value (SAR 97,980.00) due upon signing of the service agreement and issuance of the purchase order.</w:t>
      </w:r>
    </w:p>
    <w:p>
      <w:pPr>
        <w:numPr>
          <w:ilvl w:val="0"/>
          <w:numId w:val="1002"/>
        </w:numPr>
        <w:pStyle w:val="Compact"/>
      </w:pPr>
      <w:r>
        <w:rPr>
          <w:bCs/>
          <w:b/>
        </w:rPr>
        <w:t xml:space="preserve">Milestone Payments:</w:t>
      </w:r>
      <w:r>
        <w:t xml:space="preserve"> </w:t>
      </w:r>
      <w:r>
        <w:t xml:space="preserve">40% (SAR 130,640.00) payable in two equal installments upon completion of the Operational Efficiency Audit and the Market Entry Strategy deliverables, respectively.</w:t>
      </w:r>
    </w:p>
    <w:p>
      <w:pPr>
        <w:numPr>
          <w:ilvl w:val="0"/>
          <w:numId w:val="1002"/>
        </w:numPr>
        <w:pStyle w:val="Compact"/>
      </w:pPr>
      <w:r>
        <w:rPr>
          <w:bCs/>
          <w:b/>
        </w:rPr>
        <w:t xml:space="preserve">Final Payment:</w:t>
      </w:r>
      <w:r>
        <w:t xml:space="preserve"> </w:t>
      </w:r>
      <w:r>
        <w:t xml:space="preserve">30% (SAR 97,980.00) due upon delivery and acceptance of the Final Consolidated Report and Executive Presentation.</w:t>
      </w:r>
    </w:p>
    <w:p>
      <w:pPr>
        <w:numPr>
          <w:ilvl w:val="0"/>
          <w:numId w:val="1002"/>
        </w:numPr>
        <w:pStyle w:val="Compact"/>
      </w:pPr>
      <w:r>
        <w:t xml:space="preserve">All payments shall be made via bank transfer to the account of Al-Nakheel Business Consulting Group, Al Rajhi Bank, Jeddah Branch, IBAN: SA03 8000 0000 6080 1016 7519.</w:t>
      </w:r>
    </w:p>
    <w:p>
      <w:pPr>
        <w:numPr>
          <w:ilvl w:val="0"/>
          <w:numId w:val="1002"/>
        </w:numPr>
        <w:pStyle w:val="Compact"/>
      </w:pPr>
      <w:r>
        <w:t xml:space="preserve">Invoices are payable within 14 calendar days of receipt. Late payments shall attract a penalty of 1.5% per month as per Saudi commercial law.</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thirty (30) calendar days from the date of issue. Beyond this period, rates and availability of the Business Consultant are subject to reconfirmation.</w:t>
      </w:r>
    </w:p>
    <w:p>
      <w:pPr>
        <w:numPr>
          <w:ilvl w:val="0"/>
          <w:numId w:val="1003"/>
        </w:numPr>
        <w:pStyle w:val="Compact"/>
      </w:pPr>
      <w:r>
        <w:t xml:space="preserve">The Business Consultant shall maintain strict confidentiality regarding all client data, trade secrets, and proprietary information encountered during the engagement in Saudi Arabia Jeddah. A separate Non-Disclosure Agreement (NDA) shall be executed prior to commencement of work.</w:t>
      </w:r>
    </w:p>
    <w:p>
      <w:pPr>
        <w:numPr>
          <w:ilvl w:val="0"/>
          <w:numId w:val="1003"/>
        </w:numPr>
        <w:pStyle w:val="Compact"/>
      </w:pPr>
      <w:r>
        <w:t xml:space="preserve">The total project duration is estimated at sixteen (16) weeks from the date of contract execution, plus three (3) months of post-engagement support.</w:t>
      </w:r>
    </w:p>
    <w:p>
      <w:pPr>
        <w:numPr>
          <w:ilvl w:val="0"/>
          <w:numId w:val="1003"/>
        </w:numPr>
        <w:pStyle w:val="Compact"/>
      </w:pPr>
      <w:r>
        <w:t xml:space="preserve">Any changes to the scope of services beyond what is outlined in this Quotation Estimate shall be subject to a formal change order, with revised costs and timelines agreed in writing by both parties.</w:t>
      </w:r>
    </w:p>
    <w:p>
      <w:pPr>
        <w:numPr>
          <w:ilvl w:val="0"/>
          <w:numId w:val="1003"/>
        </w:numPr>
        <w:pStyle w:val="Compact"/>
      </w:pPr>
      <w:r>
        <w:t xml:space="preserve">The Business Consultant shall comply with all applicable laws and regulations of the Kingdom of Saudi Arabia, including the Labor Law, the Companies Law, and data protection requirements under the Saudi Personal Data Protection Law (PDPL).</w:t>
      </w:r>
    </w:p>
    <w:p>
      <w:pPr>
        <w:numPr>
          <w:ilvl w:val="0"/>
          <w:numId w:val="1003"/>
        </w:numPr>
        <w:pStyle w:val="Compact"/>
      </w:pPr>
      <w:r>
        <w:t xml:space="preserve">Disputes arising from this engagement shall be resolved through amicable negotiation. Failing resolution within thirty (30) days, the matter shall be referred to arbitration in Jeddah, Saudi Arabia, in accordance with the rules of the Saudi Center for Commercial Arbitration (SCCA).</w:t>
      </w:r>
    </w:p>
    <w:p>
      <w:pPr>
        <w:numPr>
          <w:ilvl w:val="0"/>
          <w:numId w:val="1003"/>
        </w:numPr>
        <w:pStyle w:val="Compact"/>
      </w:pPr>
      <w:r>
        <w:t xml:space="preserve">This Quotation Estimate does not constitute a binding contract until a formal Service Agreement is executed by authorized representatives of both parties.</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and agrees to the terms, conditions, and pricing outlined herein for the engagement of the Business Consultant in Saudi Arabia Jeddah.</w:t>
      </w:r>
    </w:p>
    <w:p>
      <w:pPr>
        <w:pStyle w:val="BodyText"/>
      </w:pPr>
      <w:r>
        <w:rPr>
          <w:bCs/>
          <w:b/>
        </w:rPr>
        <w:t xml:space="preserve">For: Al-Nakheel Business Consulting Group</w:t>
      </w:r>
      <w:r>
        <w:br/>
      </w:r>
      <w:r>
        <w:t xml:space="preserve">Name: _________________________</w:t>
      </w:r>
      <w:r>
        <w:br/>
      </w:r>
      <w:r>
        <w:t xml:space="preserve">Title: Managing Director</w:t>
      </w:r>
      <w:r>
        <w:br/>
      </w:r>
      <w:r>
        <w:t xml:space="preserve">Date: _________________________</w:t>
      </w:r>
    </w:p>
    <w:p>
      <w:pPr>
        <w:pStyle w:val="BodyText"/>
      </w:pPr>
      <w:r>
        <w:rPr>
          <w:bCs/>
          <w:b/>
        </w:rPr>
        <w:t xml:space="preserve">For: Al-Rashid Trading &amp; Logistics Co.</w:t>
      </w:r>
      <w:r>
        <w:br/>
      </w:r>
      <w:r>
        <w:t xml:space="preserve">Name: _________________________</w:t>
      </w:r>
      <w:r>
        <w:br/>
      </w:r>
      <w:r>
        <w:t xml:space="preserve">Title: _________________________</w:t>
      </w:r>
      <w:r>
        <w:br/>
      </w:r>
      <w:r>
        <w:t xml:space="preserve">Date: _________________________</w:t>
      </w:r>
    </w:p>
    <w:p>
      <w:pPr>
        <w:pStyle w:val="BodyText"/>
      </w:pPr>
      <w:r>
        <w:t xml:space="preserve">Al-Nakheel Business Consulting Group | Kingdom Tower, King Fahd Road, Al Shati, Jeddah 23412, Saudi Arabia</w:t>
      </w:r>
    </w:p>
    <w:p>
      <w:pPr>
        <w:pStyle w:val="BodyText"/>
      </w:pPr>
      <w:r>
        <w:t xml:space="preserve">CR: 1010456789 | VAT Registration: 310123456700003 | This Quotation Estimate is the property of Al-Nakheel Business Consulting Group and may not be reproduced without written consent.</w:t>
      </w:r>
    </w:p>
    <w:p>
      <w:pPr>
        <w:pStyle w:val="BodyText"/>
      </w:pPr>
      <w:r>
        <w:t xml:space="preserve">Page 1 of 1 | Document Ref: QE-2025-JED-0487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Business Consultant - Saudi Arabia Jeddah</dc:title>
  <dc:creator/>
  <dc:language>en</dc:language>
  <cp:keywords/>
  <dcterms:created xsi:type="dcterms:W3CDTF">2026-10-10T02:02:05Z</dcterms:created>
  <dcterms:modified xsi:type="dcterms:W3CDTF">2026-10-10T02:02:05Z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