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Business</w:t>
      </w:r>
      <w:r>
        <w:t xml:space="preserve"> </w:t>
      </w:r>
      <w:r>
        <w:t xml:space="preserve">Consultant</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quotation-estimate"/>
    <w:p>
      <w:pPr>
        <w:pStyle w:val="Heading1"/>
      </w:pPr>
      <w:r>
        <w:t xml:space="preserve">QUOTATION ESTIMATE</w:t>
      </w:r>
    </w:p>
    <w:p>
      <w:pPr>
        <w:pStyle w:val="FirstParagraph"/>
      </w:pPr>
      <w:r>
        <w:t xml:space="preserve">Professional Business Consultant Services | Saudi Arabia Riyadh</w:t>
      </w:r>
    </w:p>
    <w:bookmarkEnd w:id="20"/>
    <w:bookmarkStart w:id="21" w:name="service-provider"/>
    <w:p>
      <w:pPr>
        <w:pStyle w:val="Heading3"/>
      </w:pPr>
      <w:r>
        <w:t xml:space="preserve">Service Provider</w:t>
      </w:r>
    </w:p>
    <w:p>
      <w:pPr>
        <w:pStyle w:val="FirstParagraph"/>
      </w:pPr>
      <w:r>
        <w:rPr>
          <w:bCs/>
          <w:b/>
        </w:rPr>
        <w:t xml:space="preserve">Al-Riyadh Strategic Advisory LLC</w:t>
      </w:r>
    </w:p>
    <w:p>
      <w:pPr>
        <w:pStyle w:val="BodyText"/>
      </w:pPr>
      <w:r>
        <w:t xml:space="preserve">King Fahd Road, Al Olaya District</w:t>
      </w:r>
    </w:p>
    <w:p>
      <w:pPr>
        <w:pStyle w:val="BodyText"/>
      </w:pPr>
      <w:r>
        <w:t xml:space="preserve">Riyadh, 12212, Saudi Arabia</w:t>
      </w:r>
    </w:p>
    <w:p>
      <w:pPr>
        <w:pStyle w:val="BodyText"/>
      </w:pPr>
      <w:r>
        <w:t xml:space="preserve">CR No: 1010XXXXXX</w:t>
      </w:r>
    </w:p>
    <w:p>
      <w:pPr>
        <w:pStyle w:val="BodyText"/>
      </w:pPr>
      <w:r>
        <w:t xml:space="preserve">VAT No: 3101XXXXXX-XXXX-000</w:t>
      </w:r>
    </w:p>
    <w:p>
      <w:pPr>
        <w:pStyle w:val="BodyText"/>
      </w:pPr>
      <w:r>
        <w:t xml:space="preserve">Email: info@alriyadhstrategic.sa</w:t>
      </w:r>
    </w:p>
    <w:p>
      <w:pPr>
        <w:pStyle w:val="BodyText"/>
      </w:pPr>
      <w:r>
        <w:t xml:space="preserve">Phone: +966 11 456 7890</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Company Name]</w:t>
      </w:r>
    </w:p>
    <w:p>
      <w:pPr>
        <w:pStyle w:val="BodyText"/>
      </w:pPr>
      <w:r>
        <w:rPr>
          <w:bCs/>
          <w:b/>
        </w:rPr>
        <w:t xml:space="preserve">Address:</w:t>
      </w:r>
      <w:r>
        <w:t xml:space="preserve"> </w:t>
      </w:r>
      <w:r>
        <w:t xml:space="preserve">[Client Address], Riyadh</w:t>
      </w:r>
    </w:p>
    <w:p>
      <w:pPr>
        <w:pStyle w:val="BodyText"/>
      </w:pPr>
      <w:r>
        <w:rPr>
          <w:bCs/>
          <w:b/>
        </w:rPr>
        <w:t xml:space="preserve">City:</w:t>
      </w:r>
      <w:r>
        <w:t xml:space="preserve"> </w:t>
      </w:r>
      <w:r>
        <w:t xml:space="preserve">Saudi Arabia Riyadh</w:t>
      </w:r>
    </w:p>
    <w:p>
      <w:pPr>
        <w:pStyle w:val="BodyText"/>
      </w:pPr>
      <w:r>
        <w:rPr>
          <w:bCs/>
          <w:b/>
        </w:rPr>
        <w:t xml:space="preserve">Contact Person:</w:t>
      </w:r>
      <w:r>
        <w:t xml:space="preserve"> </w:t>
      </w:r>
      <w:r>
        <w:t xml:space="preserve">[Name &amp; Title]</w:t>
      </w:r>
    </w:p>
    <w:p>
      <w:pPr>
        <w:pStyle w:val="BodyText"/>
      </w:pPr>
      <w:r>
        <w:rPr>
          <w:bCs/>
          <w:b/>
        </w:rPr>
        <w:t xml:space="preserve">Email:</w:t>
      </w:r>
      <w:r>
        <w:t xml:space="preserve"> </w:t>
      </w:r>
      <w:r>
        <w:t xml:space="preserve">[client@email.com]</w:t>
      </w:r>
    </w:p>
    <w:p>
      <w:pPr>
        <w:pStyle w:val="BodyText"/>
      </w:pPr>
      <w:r>
        <w:rPr>
          <w:bCs/>
          <w:b/>
        </w:rPr>
        <w:t xml:space="preserve">Phone:</w:t>
      </w:r>
      <w:r>
        <w:t xml:space="preserve"> </w:t>
      </w:r>
      <w:r>
        <w:t xml:space="preserve">[Client Phone]</w:t>
      </w:r>
    </w:p>
    <w:bookmarkEnd w:id="22"/>
    <w:p>
      <w:pPr>
        <w:pStyle w:val="BodyText"/>
      </w:pPr>
      <w:r>
        <w:rPr>
          <w:bCs/>
          <w:b/>
        </w:rPr>
        <w:t xml:space="preserve">Quotation No:</w:t>
      </w:r>
      <w:r>
        <w:t xml:space="preserve"> </w:t>
      </w:r>
      <w:r>
        <w:t xml:space="preserve">QE-2025-0847</w:t>
      </w:r>
      <w:r>
        <w:t xml:space="preserve"> </w:t>
      </w:r>
      <w:r>
        <w:rPr>
          <w:bCs/>
          <w:b/>
        </w:rPr>
        <w:t xml:space="preserve">Date Issued:</w:t>
      </w:r>
      <w:r>
        <w:t xml:space="preserve"> </w:t>
      </w:r>
      <w:r>
        <w:t xml:space="preserve">15 June 2025</w:t>
      </w:r>
      <w:r>
        <w:t xml:space="preserve"> </w:t>
      </w:r>
      <w:r>
        <w:rPr>
          <w:bCs/>
          <w:b/>
        </w:rPr>
        <w:t xml:space="preserve">Valid Until:</w:t>
      </w:r>
      <w:r>
        <w:t xml:space="preserve"> </w:t>
      </w:r>
      <w:r>
        <w:t xml:space="preserve">15 July 2025</w:t>
      </w:r>
      <w:r>
        <w:t xml:space="preserve"> </w:t>
      </w:r>
      <w:r>
        <w:rPr>
          <w:bCs/>
          <w:b/>
        </w:rPr>
        <w:t xml:space="preserve">Service Location:</w:t>
      </w:r>
      <w:r>
        <w:t xml:space="preserve"> </w:t>
      </w:r>
      <w:r>
        <w:t xml:space="preserve">Saudi Arabia Riyadh</w:t>
      </w:r>
    </w:p>
    <w:bookmarkStart w:id="23"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by Al-Riyadh Strategic Advisory LLC to provide a comprehensive and transparent breakdown of professional</w:t>
      </w:r>
      <w:r>
        <w:t xml:space="preserve"> </w:t>
      </w:r>
      <w:r>
        <w:t xml:space="preserve">Business Consultant</w:t>
      </w:r>
      <w:r>
        <w:t xml:space="preserve"> </w:t>
      </w:r>
      <w:r>
        <w:t xml:space="preserve">services to be delivered within the Kingdom of Saudi Arabia, specifically in the capital city of</w:t>
      </w:r>
      <w:r>
        <w:t xml:space="preserve"> </w:t>
      </w:r>
      <w:r>
        <w:t xml:space="preserve">Saudi Arabia Riyadh</w:t>
      </w:r>
      <w:r>
        <w:t xml:space="preserve">. This document outlines the full scope of engagement, deliverables, timelines, and associated costs for the consulting engagement. The</w:t>
      </w:r>
      <w:r>
        <w:t xml:space="preserve"> </w:t>
      </w:r>
      <w:r>
        <w:t xml:space="preserve">Quotation Estimate</w:t>
      </w:r>
      <w:r>
        <w:t xml:space="preserve"> </w:t>
      </w:r>
      <w:r>
        <w:t xml:space="preserve">is prepared in accordance with the commercial practices and regulatory requirements applicable in Saudi Arabia Riyadh, and it serves as the foundational pricing document for the proposed</w:t>
      </w:r>
      <w:r>
        <w:t xml:space="preserve"> </w:t>
      </w:r>
      <w:r>
        <w:t xml:space="preserve">Business Consultant</w:t>
      </w:r>
      <w:r>
        <w:t xml:space="preserve"> </w:t>
      </w:r>
      <w:r>
        <w:t xml:space="preserve">engagement.</w:t>
      </w:r>
    </w:p>
    <w:bookmarkEnd w:id="23"/>
    <w:bookmarkStart w:id="24" w:name="scope-of-business-consultant-services"/>
    <w:p>
      <w:pPr>
        <w:pStyle w:val="Heading2"/>
      </w:pPr>
      <w:r>
        <w:t xml:space="preserve">2. Scope of Business Consultant Services</w:t>
      </w:r>
    </w:p>
    <w:p>
      <w:pPr>
        <w:pStyle w:val="FirstParagraph"/>
      </w:pPr>
      <w:r>
        <w:t xml:space="preserve">As a certified</w:t>
      </w:r>
      <w:r>
        <w:t xml:space="preserve"> </w:t>
      </w:r>
      <w:r>
        <w:t xml:space="preserve">Business Consultant</w:t>
      </w:r>
      <w:r>
        <w:t xml:space="preserve"> </w:t>
      </w:r>
      <w:r>
        <w:t xml:space="preserve">operating in Saudi Arabia Riyadh, our firm will deliver the following services to the client. The scope has been tailored to align with the Vision 2030 strategic objectives and the specific operational needs of the client's enterprise in the Riyadh metropolitan area:</w:t>
      </w:r>
    </w:p>
    <w:p>
      <w:pPr>
        <w:numPr>
          <w:ilvl w:val="0"/>
          <w:numId w:val="1001"/>
        </w:numPr>
        <w:pStyle w:val="Compact"/>
      </w:pPr>
      <w:r>
        <w:rPr>
          <w:bCs/>
          <w:b/>
        </w:rPr>
        <w:t xml:space="preserve">Strategic Business Planning:</w:t>
      </w:r>
      <w:r>
        <w:t xml:space="preserve"> </w:t>
      </w:r>
      <w:r>
        <w:t xml:space="preserve">Development of a five-year strategic roadmap aligned with Saudi Arabia Riyadh market dynamics, regulatory frameworks, and national economic diversification goals.</w:t>
      </w:r>
    </w:p>
    <w:p>
      <w:pPr>
        <w:numPr>
          <w:ilvl w:val="0"/>
          <w:numId w:val="1001"/>
        </w:numPr>
        <w:pStyle w:val="Compact"/>
      </w:pPr>
      <w:r>
        <w:rPr>
          <w:bCs/>
          <w:b/>
        </w:rPr>
        <w:t xml:space="preserve">Operational Efficiency Assessment:</w:t>
      </w:r>
      <w:r>
        <w:t xml:space="preserve"> </w:t>
      </w:r>
      <w:r>
        <w:t xml:space="preserve">Comprehensive audit of current business processes, supply chain operations, and resource allocation within the client's Riyadh-based facilities.</w:t>
      </w:r>
    </w:p>
    <w:p>
      <w:pPr>
        <w:numPr>
          <w:ilvl w:val="0"/>
          <w:numId w:val="1001"/>
        </w:numPr>
        <w:pStyle w:val="Compact"/>
      </w:pPr>
      <w:r>
        <w:rPr>
          <w:bCs/>
          <w:b/>
        </w:rPr>
        <w:t xml:space="preserve">Market Entry &amp; Expansion Advisory:</w:t>
      </w:r>
      <w:r>
        <w:t xml:space="preserve"> </w:t>
      </w:r>
      <w:r>
        <w:t xml:space="preserve">Analysis of competitive positioning, consumer behavior, and growth opportunities specific to the Saudi Arabia Riyadh business environment.</w:t>
      </w:r>
    </w:p>
    <w:p>
      <w:pPr>
        <w:numPr>
          <w:ilvl w:val="0"/>
          <w:numId w:val="1001"/>
        </w:numPr>
        <w:pStyle w:val="Compact"/>
      </w:pPr>
      <w:r>
        <w:rPr>
          <w:bCs/>
          <w:b/>
        </w:rPr>
        <w:t xml:space="preserve">Organizational Restructuring:</w:t>
      </w:r>
      <w:r>
        <w:t xml:space="preserve"> </w:t>
      </w:r>
      <w:r>
        <w:t xml:space="preserve">Design of optimal organizational structures, governance frameworks, and talent management strategies compliant with Saudi labor regulations.</w:t>
      </w:r>
    </w:p>
    <w:p>
      <w:pPr>
        <w:numPr>
          <w:ilvl w:val="0"/>
          <w:numId w:val="1001"/>
        </w:numPr>
        <w:pStyle w:val="Compact"/>
      </w:pPr>
      <w:r>
        <w:rPr>
          <w:bCs/>
          <w:b/>
        </w:rPr>
        <w:t xml:space="preserve">Financial Modeling &amp; Forecasting:</w:t>
      </w:r>
      <w:r>
        <w:t xml:space="preserve"> </w:t>
      </w:r>
      <w:r>
        <w:t xml:space="preserve">Construction of detailed financial models, cash flow projections, and investment return analyses for proposed business initiatives.</w:t>
      </w:r>
    </w:p>
    <w:p>
      <w:pPr>
        <w:numPr>
          <w:ilvl w:val="0"/>
          <w:numId w:val="1001"/>
        </w:numPr>
        <w:pStyle w:val="Compact"/>
      </w:pPr>
      <w:r>
        <w:rPr>
          <w:bCs/>
          <w:b/>
        </w:rPr>
        <w:t xml:space="preserve">Regulatory &amp; Compliance Advisory:</w:t>
      </w:r>
      <w:r>
        <w:t xml:space="preserve"> </w:t>
      </w:r>
      <w:r>
        <w:t xml:space="preserve">Guidance on all applicable Saudi Arabian commercial laws, SAMA regulations, ZATCA tax obligations, and municipal requirements in Riyadh.</w:t>
      </w:r>
    </w:p>
    <w:p>
      <w:pPr>
        <w:numPr>
          <w:ilvl w:val="0"/>
          <w:numId w:val="1001"/>
        </w:numPr>
        <w:pStyle w:val="Compact"/>
      </w:pPr>
      <w:r>
        <w:rPr>
          <w:bCs/>
          <w:b/>
        </w:rPr>
        <w:t xml:space="preserve">Digital Transformation Roadmap:</w:t>
      </w:r>
      <w:r>
        <w:t xml:space="preserve"> </w:t>
      </w:r>
      <w:r>
        <w:t xml:space="preserve">Assessment of technology readiness and formulation of a phased digital adoption plan suited to the Saudi Arabia Riyadh tech ecosystem.</w:t>
      </w:r>
    </w:p>
    <w:bookmarkEnd w:id="24"/>
    <w:bookmarkStart w:id="25" w:name="detailed-cost-breakdown"/>
    <w:p>
      <w:pPr>
        <w:pStyle w:val="Heading2"/>
      </w:pPr>
      <w:r>
        <w:t xml:space="preserve">3. Detailed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 Deliverable</w:t>
            </w:r>
          </w:p>
        </w:tc>
        <w:tc>
          <w:tcPr/>
          <w:p>
            <w:pPr>
              <w:pStyle w:val="Compact"/>
              <w:jc w:val="left"/>
            </w:pPr>
            <w:r>
              <w:t xml:space="preserve">Duration</w:t>
            </w:r>
          </w:p>
        </w:tc>
        <w:tc>
          <w:tcPr/>
          <w:p>
            <w:pPr>
              <w:pStyle w:val="Compact"/>
              <w:jc w:val="left"/>
            </w:pPr>
            <w:r>
              <w:t xml:space="preserve">Rate (SAR)</w:t>
            </w:r>
          </w:p>
        </w:tc>
        <w:tc>
          <w:tcPr/>
          <w:p>
            <w:pPr>
              <w:pStyle w:val="Compact"/>
              <w:jc w:val="left"/>
            </w:pPr>
            <w:r>
              <w:t xml:space="preserve">Amount (SAR)</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Initial Discovery &amp; Diagnostic Assessment (Business Consultant on-site, Riyadh)</w:t>
            </w:r>
          </w:p>
        </w:tc>
        <w:tc>
          <w:tcPr/>
          <w:p>
            <w:pPr>
              <w:pStyle w:val="Compact"/>
              <w:jc w:val="left"/>
            </w:pPr>
            <w:r>
              <w:t xml:space="preserve">2 weeks</w:t>
            </w:r>
          </w:p>
        </w:tc>
        <w:tc>
          <w:tcPr/>
          <w:p>
            <w:pPr>
              <w:pStyle w:val="Compact"/>
              <w:jc w:val="left"/>
            </w:pPr>
            <w:r>
              <w:t xml:space="preserve">18,000 / week</w:t>
            </w:r>
          </w:p>
        </w:tc>
        <w:tc>
          <w:tcPr/>
          <w:p>
            <w:pPr>
              <w:pStyle w:val="Compact"/>
              <w:jc w:val="left"/>
            </w:pPr>
            <w:r>
              <w:t xml:space="preserve">36,000</w:t>
            </w:r>
          </w:p>
        </w:tc>
        <w:tc>
          <w:tcPr/>
          <w:p>
            <w:pPr>
              <w:pStyle w:val="Compact"/>
              <w:jc w:val="left"/>
            </w:pPr>
            <w:r>
              <w:t xml:space="preserve">Includes 3 site visits</w:t>
            </w:r>
          </w:p>
        </w:tc>
      </w:tr>
      <w:tr>
        <w:tc>
          <w:tcPr/>
          <w:p>
            <w:pPr>
              <w:pStyle w:val="Compact"/>
              <w:jc w:val="left"/>
            </w:pPr>
            <w:r>
              <w:t xml:space="preserve">2</w:t>
            </w:r>
          </w:p>
        </w:tc>
        <w:tc>
          <w:tcPr/>
          <w:p>
            <w:pPr>
              <w:pStyle w:val="Compact"/>
              <w:jc w:val="left"/>
            </w:pPr>
            <w:r>
              <w:t xml:space="preserve">Strategic Business Plan Development &amp; Presentation</w:t>
            </w:r>
          </w:p>
        </w:tc>
        <w:tc>
          <w:tcPr/>
          <w:p>
            <w:pPr>
              <w:pStyle w:val="Compact"/>
              <w:jc w:val="left"/>
            </w:pPr>
            <w:r>
              <w:t xml:space="preserve">4 weeks</w:t>
            </w:r>
          </w:p>
        </w:tc>
        <w:tc>
          <w:tcPr/>
          <w:p>
            <w:pPr>
              <w:pStyle w:val="Compact"/>
              <w:jc w:val="left"/>
            </w:pPr>
            <w:r>
              <w:t xml:space="preserve">22,000 / week</w:t>
            </w:r>
          </w:p>
        </w:tc>
        <w:tc>
          <w:tcPr/>
          <w:p>
            <w:pPr>
              <w:pStyle w:val="Compact"/>
              <w:jc w:val="left"/>
            </w:pPr>
            <w:r>
              <w:t xml:space="preserve">88,000</w:t>
            </w:r>
          </w:p>
        </w:tc>
        <w:tc>
          <w:tcPr/>
          <w:p>
            <w:pPr>
              <w:pStyle w:val="Compact"/>
              <w:jc w:val="left"/>
            </w:pPr>
            <w:r>
              <w:t xml:space="preserve">Board-ready deliverable</w:t>
            </w:r>
          </w:p>
        </w:tc>
      </w:tr>
      <w:tr>
        <w:tc>
          <w:tcPr/>
          <w:p>
            <w:pPr>
              <w:pStyle w:val="Compact"/>
              <w:jc w:val="left"/>
            </w:pPr>
            <w:r>
              <w:t xml:space="preserve">3</w:t>
            </w:r>
          </w:p>
        </w:tc>
        <w:tc>
          <w:tcPr/>
          <w:p>
            <w:pPr>
              <w:pStyle w:val="Compact"/>
              <w:jc w:val="left"/>
            </w:pPr>
            <w:r>
              <w:t xml:space="preserve">Operational Process Audit &amp; Optimization Report</w:t>
            </w:r>
          </w:p>
        </w:tc>
        <w:tc>
          <w:tcPr/>
          <w:p>
            <w:pPr>
              <w:pStyle w:val="Compact"/>
              <w:jc w:val="left"/>
            </w:pPr>
            <w:r>
              <w:t xml:space="preserve">3 weeks</w:t>
            </w:r>
          </w:p>
        </w:tc>
        <w:tc>
          <w:tcPr/>
          <w:p>
            <w:pPr>
              <w:pStyle w:val="Compact"/>
              <w:jc w:val="left"/>
            </w:pPr>
            <w:r>
              <w:t xml:space="preserve">20,000 / week</w:t>
            </w:r>
          </w:p>
        </w:tc>
        <w:tc>
          <w:tcPr/>
          <w:p>
            <w:pPr>
              <w:pStyle w:val="Compact"/>
              <w:jc w:val="left"/>
            </w:pPr>
            <w:r>
              <w:t xml:space="preserve">60,000</w:t>
            </w:r>
          </w:p>
        </w:tc>
        <w:tc>
          <w:tcPr/>
          <w:p>
            <w:pPr>
              <w:pStyle w:val="Compact"/>
              <w:jc w:val="left"/>
            </w:pPr>
            <w:r>
              <w:t xml:space="preserve">All Riyadh facilities</w:t>
            </w:r>
          </w:p>
        </w:tc>
      </w:tr>
      <w:tr>
        <w:tc>
          <w:tcPr/>
          <w:p>
            <w:pPr>
              <w:pStyle w:val="Compact"/>
              <w:jc w:val="left"/>
            </w:pPr>
            <w:r>
              <w:t xml:space="preserve">4</w:t>
            </w:r>
          </w:p>
        </w:tc>
        <w:tc>
          <w:tcPr/>
          <w:p>
            <w:pPr>
              <w:pStyle w:val="Compact"/>
              <w:jc w:val="left"/>
            </w:pPr>
            <w:r>
              <w:t xml:space="preserve">Market Analysis &amp; Competitive Intelligence (Saudi Arabia Riyadh)</w:t>
            </w:r>
          </w:p>
        </w:tc>
        <w:tc>
          <w:tcPr/>
          <w:p>
            <w:pPr>
              <w:pStyle w:val="Compact"/>
              <w:jc w:val="left"/>
            </w:pPr>
            <w:r>
              <w:t xml:space="preserve">3 weeks</w:t>
            </w:r>
          </w:p>
        </w:tc>
        <w:tc>
          <w:tcPr/>
          <w:p>
            <w:pPr>
              <w:pStyle w:val="Compact"/>
              <w:jc w:val="left"/>
            </w:pPr>
            <w:r>
              <w:t xml:space="preserve">19,000 / week</w:t>
            </w:r>
          </w:p>
        </w:tc>
        <w:tc>
          <w:tcPr/>
          <w:p>
            <w:pPr>
              <w:pStyle w:val="Compact"/>
              <w:jc w:val="left"/>
            </w:pPr>
            <w:r>
              <w:t xml:space="preserve">57,000</w:t>
            </w:r>
          </w:p>
        </w:tc>
        <w:tc>
          <w:tcPr/>
          <w:p>
            <w:pPr>
              <w:pStyle w:val="Compact"/>
              <w:jc w:val="left"/>
            </w:pPr>
            <w:r>
              <w:t xml:space="preserve">Includes sector benchmarking</w:t>
            </w:r>
          </w:p>
        </w:tc>
      </w:tr>
      <w:tr>
        <w:tc>
          <w:tcPr/>
          <w:p>
            <w:pPr>
              <w:pStyle w:val="Compact"/>
              <w:jc w:val="left"/>
            </w:pPr>
            <w:r>
              <w:t xml:space="preserve">5</w:t>
            </w:r>
          </w:p>
        </w:tc>
        <w:tc>
          <w:tcPr/>
          <w:p>
            <w:pPr>
              <w:pStyle w:val="Compact"/>
              <w:jc w:val="left"/>
            </w:pPr>
            <w:r>
              <w:t xml:space="preserve">Organizational Design &amp; HR Strategy Framework</w:t>
            </w:r>
          </w:p>
        </w:tc>
        <w:tc>
          <w:tcPr/>
          <w:p>
            <w:pPr>
              <w:pStyle w:val="Compact"/>
              <w:jc w:val="left"/>
            </w:pPr>
            <w:r>
              <w:t xml:space="preserve">3 weeks</w:t>
            </w:r>
          </w:p>
        </w:tc>
        <w:tc>
          <w:tcPr/>
          <w:p>
            <w:pPr>
              <w:pStyle w:val="Compact"/>
              <w:jc w:val="left"/>
            </w:pPr>
            <w:r>
              <w:t xml:space="preserve">21,000 / week</w:t>
            </w:r>
          </w:p>
        </w:tc>
        <w:tc>
          <w:tcPr/>
          <w:p>
            <w:pPr>
              <w:pStyle w:val="Compact"/>
              <w:jc w:val="left"/>
            </w:pPr>
            <w:r>
              <w:t xml:space="preserve">63,000</w:t>
            </w:r>
          </w:p>
        </w:tc>
        <w:tc>
          <w:tcPr/>
          <w:p>
            <w:pPr>
              <w:pStyle w:val="Compact"/>
              <w:jc w:val="left"/>
            </w:pPr>
            <w:r>
              <w:t xml:space="preserve">Saudi labor law compliant</w:t>
            </w:r>
          </w:p>
        </w:tc>
      </w:tr>
      <w:tr>
        <w:tc>
          <w:tcPr/>
          <w:p>
            <w:pPr>
              <w:pStyle w:val="Compact"/>
              <w:jc w:val="left"/>
            </w:pPr>
            <w:r>
              <w:t xml:space="preserve">6</w:t>
            </w:r>
          </w:p>
        </w:tc>
        <w:tc>
          <w:tcPr/>
          <w:p>
            <w:pPr>
              <w:pStyle w:val="Compact"/>
              <w:jc w:val="left"/>
            </w:pPr>
            <w:r>
              <w:t xml:space="preserve">Financial Modeling, Budgeting &amp; ROI Analysis</w:t>
            </w:r>
          </w:p>
        </w:tc>
        <w:tc>
          <w:tcPr/>
          <w:p>
            <w:pPr>
              <w:pStyle w:val="Compact"/>
              <w:jc w:val="left"/>
            </w:pPr>
            <w:r>
              <w:t xml:space="preserve">2 weeks</w:t>
            </w:r>
          </w:p>
        </w:tc>
        <w:tc>
          <w:tcPr/>
          <w:p>
            <w:pPr>
              <w:pStyle w:val="Compact"/>
              <w:jc w:val="left"/>
            </w:pPr>
            <w:r>
              <w:t xml:space="preserve">20,000 / week</w:t>
            </w:r>
          </w:p>
        </w:tc>
        <w:tc>
          <w:tcPr/>
          <w:p>
            <w:pPr>
              <w:pStyle w:val="Compact"/>
              <w:jc w:val="left"/>
            </w:pPr>
            <w:r>
              <w:t xml:space="preserve">40,000</w:t>
            </w:r>
          </w:p>
        </w:tc>
        <w:tc>
          <w:tcPr/>
          <w:p>
            <w:pPr>
              <w:pStyle w:val="Compact"/>
              <w:jc w:val="left"/>
            </w:pPr>
            <w:r>
              <w:t xml:space="preserve">5-year projection</w:t>
            </w:r>
          </w:p>
        </w:tc>
      </w:tr>
      <w:tr>
        <w:tc>
          <w:tcPr/>
          <w:p>
            <w:pPr>
              <w:pStyle w:val="Compact"/>
              <w:jc w:val="left"/>
            </w:pPr>
            <w:r>
              <w:t xml:space="preserve">7</w:t>
            </w:r>
          </w:p>
        </w:tc>
        <w:tc>
          <w:tcPr/>
          <w:p>
            <w:pPr>
              <w:pStyle w:val="Compact"/>
              <w:jc w:val="left"/>
            </w:pPr>
            <w:r>
              <w:t xml:space="preserve">Digital Transformation Assessment &amp; Roadmap</w:t>
            </w:r>
          </w:p>
        </w:tc>
        <w:tc>
          <w:tcPr/>
          <w:p>
            <w:pPr>
              <w:pStyle w:val="Compact"/>
              <w:jc w:val="left"/>
            </w:pPr>
            <w:r>
              <w:t xml:space="preserve">2 weeks</w:t>
            </w:r>
          </w:p>
        </w:tc>
        <w:tc>
          <w:tcPr/>
          <w:p>
            <w:pPr>
              <w:pStyle w:val="Compact"/>
              <w:jc w:val="left"/>
            </w:pPr>
            <w:r>
              <w:t xml:space="preserve">22,000 / week</w:t>
            </w:r>
          </w:p>
        </w:tc>
        <w:tc>
          <w:tcPr/>
          <w:p>
            <w:pPr>
              <w:pStyle w:val="Compact"/>
              <w:jc w:val="left"/>
            </w:pPr>
            <w:r>
              <w:t xml:space="preserve">44,000</w:t>
            </w:r>
          </w:p>
        </w:tc>
        <w:tc>
          <w:tcPr/>
          <w:p>
            <w:pPr>
              <w:pStyle w:val="Compact"/>
              <w:jc w:val="left"/>
            </w:pPr>
            <w:r>
              <w:t xml:space="preserve">Technology stack review</w:t>
            </w:r>
          </w:p>
        </w:tc>
      </w:tr>
      <w:tr>
        <w:tc>
          <w:tcPr/>
          <w:p>
            <w:pPr>
              <w:pStyle w:val="Compact"/>
              <w:jc w:val="left"/>
            </w:pPr>
            <w:r>
              <w:t xml:space="preserve">8</w:t>
            </w:r>
          </w:p>
        </w:tc>
        <w:tc>
          <w:tcPr/>
          <w:p>
            <w:pPr>
              <w:pStyle w:val="Compact"/>
              <w:jc w:val="left"/>
            </w:pPr>
            <w:r>
              <w:t xml:space="preserve">Regulatory Compliance &amp; Licensing Advisory (Riyadh Municipality, SAMA, ZATCA)</w:t>
            </w:r>
          </w:p>
        </w:tc>
        <w:tc>
          <w:tcPr/>
          <w:p>
            <w:pPr>
              <w:pStyle w:val="Compact"/>
              <w:jc w:val="left"/>
            </w:pPr>
            <w:r>
              <w:t xml:space="preserve">2 weeks</w:t>
            </w:r>
          </w:p>
        </w:tc>
        <w:tc>
          <w:tcPr/>
          <w:p>
            <w:pPr>
              <w:pStyle w:val="Compact"/>
              <w:jc w:val="left"/>
            </w:pPr>
            <w:r>
              <w:t xml:space="preserve">17,000 / week</w:t>
            </w:r>
          </w:p>
        </w:tc>
        <w:tc>
          <w:tcPr/>
          <w:p>
            <w:pPr>
              <w:pStyle w:val="Compact"/>
              <w:jc w:val="left"/>
            </w:pPr>
            <w:r>
              <w:t xml:space="preserve">34,000</w:t>
            </w:r>
          </w:p>
        </w:tc>
        <w:tc>
          <w:tcPr/>
          <w:p>
            <w:pPr>
              <w:pStyle w:val="Compact"/>
              <w:jc w:val="left"/>
            </w:pPr>
            <w:r>
              <w:t xml:space="preserve">All permits &amp; filings</w:t>
            </w:r>
          </w:p>
        </w:tc>
      </w:tr>
      <w:tr>
        <w:tc>
          <w:tcPr/>
          <w:p>
            <w:pPr>
              <w:pStyle w:val="Compact"/>
              <w:jc w:val="left"/>
            </w:pPr>
            <w:r>
              <w:t xml:space="preserve">9</w:t>
            </w:r>
          </w:p>
        </w:tc>
        <w:tc>
          <w:tcPr/>
          <w:p>
            <w:pPr>
              <w:pStyle w:val="Compact"/>
              <w:jc w:val="left"/>
            </w:pPr>
            <w:r>
              <w:t xml:space="preserve">Executive Training &amp; Change Management Workshops (4 sessions)</w:t>
            </w:r>
          </w:p>
        </w:tc>
        <w:tc>
          <w:tcPr/>
          <w:p>
            <w:pPr>
              <w:pStyle w:val="Compact"/>
              <w:jc w:val="left"/>
            </w:pPr>
            <w:r>
              <w:t xml:space="preserve">4 weeks</w:t>
            </w:r>
          </w:p>
        </w:tc>
        <w:tc>
          <w:tcPr/>
          <w:p>
            <w:pPr>
              <w:pStyle w:val="Compact"/>
              <w:jc w:val="left"/>
            </w:pPr>
            <w:r>
              <w:t xml:space="preserve">12,000 / session</w:t>
            </w:r>
          </w:p>
        </w:tc>
        <w:tc>
          <w:tcPr/>
          <w:p>
            <w:pPr>
              <w:pStyle w:val="Compact"/>
              <w:jc w:val="left"/>
            </w:pPr>
            <w:r>
              <w:t xml:space="preserve">48,000</w:t>
            </w:r>
          </w:p>
        </w:tc>
        <w:tc>
          <w:tcPr/>
          <w:p>
            <w:pPr>
              <w:pStyle w:val="Compact"/>
              <w:jc w:val="left"/>
            </w:pPr>
            <w:r>
              <w:t xml:space="preserve">Up to 25 participants</w:t>
            </w:r>
          </w:p>
        </w:tc>
      </w:tr>
      <w:tr>
        <w:tc>
          <w:tcPr/>
          <w:p>
            <w:pPr>
              <w:pStyle w:val="Compact"/>
              <w:jc w:val="left"/>
            </w:pPr>
            <w:r>
              <w:t xml:space="preserve">10</w:t>
            </w:r>
          </w:p>
        </w:tc>
        <w:tc>
          <w:tcPr/>
          <w:p>
            <w:pPr>
              <w:pStyle w:val="Compact"/>
              <w:jc w:val="left"/>
            </w:pPr>
            <w:r>
              <w:t xml:space="preserve">Post-Implementation Support &amp; Advisory (Ongoing, 3 months)</w:t>
            </w:r>
          </w:p>
        </w:tc>
        <w:tc>
          <w:tcPr/>
          <w:p>
            <w:pPr>
              <w:pStyle w:val="Compact"/>
              <w:jc w:val="left"/>
            </w:pPr>
            <w:r>
              <w:t xml:space="preserve">3 months</w:t>
            </w:r>
          </w:p>
        </w:tc>
        <w:tc>
          <w:tcPr/>
          <w:p>
            <w:pPr>
              <w:pStyle w:val="Compact"/>
              <w:jc w:val="left"/>
            </w:pPr>
            <w:r>
              <w:t xml:space="preserve">15,000 / month</w:t>
            </w:r>
          </w:p>
        </w:tc>
        <w:tc>
          <w:tcPr/>
          <w:p>
            <w:pPr>
              <w:pStyle w:val="Compact"/>
              <w:jc w:val="left"/>
            </w:pPr>
            <w:r>
              <w:t xml:space="preserve">45,000</w:t>
            </w:r>
          </w:p>
        </w:tc>
        <w:tc>
          <w:tcPr/>
          <w:p>
            <w:pPr>
              <w:pStyle w:val="Compact"/>
              <w:jc w:val="left"/>
            </w:pPr>
            <w:r>
              <w:t xml:space="preserve">Bi-weekly check-ins</w:t>
            </w:r>
          </w:p>
        </w:tc>
      </w:tr>
      <w:tr>
        <w:tc>
          <w:tcPr>
            <w:gridSpan w:val="4"/>
          </w:tcPr>
          <w:p>
            <w:pPr>
              <w:pStyle w:val="Compact"/>
              <w:jc w:val="right"/>
            </w:pPr>
            <w:r>
              <w:t xml:space="preserve">Subtotal (SAR)</w:t>
            </w:r>
          </w:p>
        </w:tc>
        <w:tc>
          <w:tcPr/>
          <w:p>
            <w:pPr>
              <w:pStyle w:val="Compact"/>
              <w:jc w:val="left"/>
            </w:pPr>
            <w:r>
              <w:t xml:space="preserve">515,000</w:t>
            </w:r>
          </w:p>
        </w:tc>
        <w:tc>
          <w:tcPr/>
          <w:p>
            <w:pPr>
              <w:pStyle w:val="Compact"/>
            </w:pPr>
          </w:p>
        </w:tc>
      </w:tr>
      <w:tr>
        <w:tc>
          <w:tcPr>
            <w:gridSpan w:val="4"/>
          </w:tcPr>
          <w:p>
            <w:pPr>
              <w:pStyle w:val="Compact"/>
              <w:jc w:val="right"/>
            </w:pPr>
            <w:r>
              <w:t xml:space="preserve">VAT @ 15% (ZATCA, Saudi Arabia)</w:t>
            </w:r>
          </w:p>
        </w:tc>
        <w:tc>
          <w:tcPr/>
          <w:p>
            <w:pPr>
              <w:pStyle w:val="Compact"/>
              <w:jc w:val="left"/>
            </w:pPr>
            <w:r>
              <w:t xml:space="preserve">77,250</w:t>
            </w:r>
          </w:p>
        </w:tc>
        <w:tc>
          <w:tcPr/>
          <w:p>
            <w:pPr>
              <w:pStyle w:val="Compact"/>
            </w:pPr>
          </w:p>
        </w:tc>
      </w:tr>
      <w:tr>
        <w:tc>
          <w:tcPr>
            <w:gridSpan w:val="4"/>
          </w:tcPr>
          <w:p>
            <w:pPr>
              <w:pStyle w:val="Compact"/>
              <w:jc w:val="right"/>
            </w:pPr>
            <w:r>
              <w:t xml:space="preserve">TOTAL AMOUNT DUE (SAR)</w:t>
            </w:r>
          </w:p>
        </w:tc>
        <w:tc>
          <w:tcPr/>
          <w:p>
            <w:pPr>
              <w:pStyle w:val="Compact"/>
              <w:jc w:val="left"/>
            </w:pPr>
            <w:r>
              <w:t xml:space="preserve">592,250</w:t>
            </w:r>
          </w:p>
        </w:tc>
        <w:tc>
          <w:tcPr/>
          <w:p>
            <w:pPr>
              <w:pStyle w:val="Compact"/>
            </w:pPr>
          </w:p>
        </w:tc>
      </w:tr>
    </w:tbl>
    <w:bookmarkEnd w:id="25"/>
    <w:bookmarkStart w:id="26" w:name="payment-terms"/>
    <w:p>
      <w:pPr>
        <w:pStyle w:val="Heading2"/>
      </w:pPr>
      <w:r>
        <w:t xml:space="preserve">4. Payment Terms</w:t>
      </w:r>
    </w:p>
    <w:p>
      <w:pPr>
        <w:pStyle w:val="FirstParagraph"/>
      </w:pPr>
      <w:r>
        <w:t xml:space="preserve">The total amount specified in this</w:t>
      </w:r>
      <w:r>
        <w:t xml:space="preserve"> </w:t>
      </w:r>
      <w:r>
        <w:t xml:space="preserve">Quotation Estimate</w:t>
      </w:r>
      <w:r>
        <w:t xml:space="preserve"> </w:t>
      </w:r>
      <w:r>
        <w:t xml:space="preserve">shall be paid in accordance with the following schedule. All payments are to be made in Saudi Riyals (SAR) via bank transfer to the account of Al-Riyadh Strategic Advisory LLC, registered in Saudi Arabia Riyadh:</w:t>
      </w:r>
    </w:p>
    <w:p>
      <w:pPr>
        <w:numPr>
          <w:ilvl w:val="0"/>
          <w:numId w:val="1002"/>
        </w:numPr>
        <w:pStyle w:val="Compact"/>
      </w:pPr>
      <w:r>
        <w:rPr>
          <w:bCs/>
          <w:b/>
        </w:rPr>
        <w:t xml:space="preserve">30% Advance Payment:</w:t>
      </w:r>
      <w:r>
        <w:t xml:space="preserve"> </w:t>
      </w:r>
      <w:r>
        <w:t xml:space="preserve">Due upon signed acceptance of this Quotation Estimate (SAR 177,675 including VAT).</w:t>
      </w:r>
    </w:p>
    <w:p>
      <w:pPr>
        <w:numPr>
          <w:ilvl w:val="0"/>
          <w:numId w:val="1002"/>
        </w:numPr>
        <w:pStyle w:val="Compact"/>
      </w:pPr>
      <w:r>
        <w:rPr>
          <w:bCs/>
          <w:b/>
        </w:rPr>
        <w:t xml:space="preserve">40% Milestone Payment:</w:t>
      </w:r>
      <w:r>
        <w:t xml:space="preserve"> </w:t>
      </w:r>
      <w:r>
        <w:t xml:space="preserve">Due upon completion of the Strategic Business Plan and Operational Audit deliverables (SAR 236,900 including VAT).</w:t>
      </w:r>
    </w:p>
    <w:p>
      <w:pPr>
        <w:numPr>
          <w:ilvl w:val="0"/>
          <w:numId w:val="1002"/>
        </w:numPr>
        <w:pStyle w:val="Compact"/>
      </w:pPr>
      <w:r>
        <w:rPr>
          <w:bCs/>
          <w:b/>
        </w:rPr>
        <w:t xml:space="preserve">30% Final Payment:</w:t>
      </w:r>
      <w:r>
        <w:t xml:space="preserve"> </w:t>
      </w:r>
      <w:r>
        <w:t xml:space="preserve">Due upon successful completion of all remaining deliverables and the post-implementation support period (SAR 177,675 including VAT).</w:t>
      </w:r>
    </w:p>
    <w:p>
      <w:pPr>
        <w:pStyle w:val="FirstParagraph"/>
      </w:pPr>
      <w:r>
        <w:t xml:space="preserve">A late payment penalty of 1.5% per month shall apply to any outstanding balances beyond the agreed due dates, in compliance with Saudi commercial law.</w:t>
      </w:r>
    </w:p>
    <w:bookmarkEnd w:id="26"/>
    <w:bookmarkStart w:id="27"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Beyond this period, pricing may be subject to revision based on market conditions in Saudi Arabia Riyadh.</w:t>
      </w:r>
    </w:p>
    <w:p>
      <w:pPr>
        <w:numPr>
          <w:ilvl w:val="0"/>
          <w:numId w:val="1003"/>
        </w:numPr>
        <w:pStyle w:val="Compact"/>
      </w:pPr>
      <w:r>
        <w:t xml:space="preserve">All</w:t>
      </w:r>
      <w:r>
        <w:t xml:space="preserve"> </w:t>
      </w:r>
      <w:r>
        <w:t xml:space="preserve">Business Consultant</w:t>
      </w:r>
      <w:r>
        <w:t xml:space="preserve"> </w:t>
      </w:r>
      <w:r>
        <w:t xml:space="preserve">services will be performed by qualified, licensed professionals based in or regularly operating within Saudi Arabia Riyadh. The lead Business Consultant holds a PMP, CFA, and Saudi CMA certification.</w:t>
      </w:r>
    </w:p>
    <w:p>
      <w:pPr>
        <w:numPr>
          <w:ilvl w:val="0"/>
          <w:numId w:val="1003"/>
        </w:numPr>
        <w:pStyle w:val="Compact"/>
      </w:pPr>
      <w:r>
        <w:t xml:space="preserve">The client agrees to provide timely access to all relevant business records, facilities, and personnel in Riyadh necessary for the execution of the consulting engagement.</w:t>
      </w:r>
    </w:p>
    <w:p>
      <w:pPr>
        <w:numPr>
          <w:ilvl w:val="0"/>
          <w:numId w:val="1003"/>
        </w:numPr>
        <w:pStyle w:val="Compact"/>
      </w:pPr>
      <w:r>
        <w:t xml:space="preserve">All intellectual property, reports, and deliverables produced under this engagement shall become the exclusive property of the client upon full payment.</w:t>
      </w:r>
    </w:p>
    <w:p>
      <w:pPr>
        <w:numPr>
          <w:ilvl w:val="0"/>
          <w:numId w:val="1003"/>
        </w:numPr>
        <w:pStyle w:val="Compact"/>
      </w:pPr>
      <w:r>
        <w:t xml:space="preserve">Confidentiality obligations as defined in the separate Non-Disclosure Agreement (NDA) shall govern all information exchanged during the engagement.</w:t>
      </w:r>
    </w:p>
    <w:p>
      <w:pPr>
        <w:numPr>
          <w:ilvl w:val="0"/>
          <w:numId w:val="1003"/>
        </w:numPr>
        <w:pStyle w:val="Compact"/>
      </w:pPr>
      <w:r>
        <w:t xml:space="preserve">This Quotation Estimate does not constitute a binding contract until formally accepted in writing by both parties and countersigned by authorized representatives.</w:t>
      </w:r>
    </w:p>
    <w:p>
      <w:pPr>
        <w:numPr>
          <w:ilvl w:val="0"/>
          <w:numId w:val="1003"/>
        </w:numPr>
        <w:pStyle w:val="Compact"/>
      </w:pPr>
      <w:r>
        <w:t xml:space="preserve">Any changes to the scope of work must be documented in a formal Change Order, signed by both parties, with corresponding adjustments to the Quotation Estimate pricing.</w:t>
      </w:r>
    </w:p>
    <w:p>
      <w:pPr>
        <w:numPr>
          <w:ilvl w:val="0"/>
          <w:numId w:val="1003"/>
        </w:numPr>
        <w:pStyle w:val="Compact"/>
      </w:pPr>
      <w:r>
        <w:t xml:space="preserve">Governance of this document and any resulting contract shall be under the laws of the Kingdom of Saudi Arabia, with disputes subject to the jurisdiction of the courts in Riyadh.</w:t>
      </w:r>
    </w:p>
    <w:bookmarkEnd w:id="27"/>
    <w:bookmarkStart w:id="28"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Business Consultant</w:t>
      </w:r>
      <w:r>
        <w:t xml:space="preserve"> </w:t>
      </w:r>
      <w:r>
        <w:t xml:space="preserve">services in</w:t>
      </w:r>
      <w:r>
        <w:t xml:space="preserve"> </w:t>
      </w:r>
      <w:r>
        <w:t xml:space="preserve">Saudi Arabia Riyadh</w:t>
      </w:r>
      <w:r>
        <w:t xml:space="preserve"> </w:t>
      </w:r>
      <w:r>
        <w:t xml:space="preserve">and agrees to the terms, conditions, and pricing outlined herein. This acceptance authorizes Al-Riyadh Strategic Advisory LLC to commence the consulting engagement upon receipt of the advance payment.</w:t>
      </w:r>
    </w:p>
    <w:p>
      <w:pPr>
        <w:pStyle w:val="BodyText"/>
      </w:pPr>
      <w:r>
        <w:rPr>
          <w:bCs/>
          <w:b/>
        </w:rPr>
        <w:t xml:space="preserve">For: Al-Riyadh Strategic Advisory LLC</w:t>
      </w:r>
    </w:p>
    <w:p>
      <w:pPr>
        <w:pStyle w:val="BodyText"/>
      </w:pPr>
      <w:r>
        <w:t xml:space="preserve">Name: [Lead Business Consultant Name]</w:t>
      </w:r>
      <w:r>
        <w:br/>
      </w:r>
      <w:r>
        <w:t xml:space="preserve">Title: Managing Director</w:t>
      </w:r>
      <w:r>
        <w:br/>
      </w:r>
      <w:r>
        <w:t xml:space="preserve">Signature &amp; Company Stamp</w:t>
      </w:r>
      <w:r>
        <w:br/>
      </w:r>
      <w:r>
        <w:t xml:space="preserve">Date: _______________</w:t>
      </w:r>
    </w:p>
    <w:p>
      <w:pPr>
        <w:pStyle w:val="BodyText"/>
      </w:pPr>
      <w:r>
        <w:rPr>
          <w:bCs/>
          <w:b/>
        </w:rPr>
        <w:t xml:space="preserve">For: [Client Company Name]</w:t>
      </w:r>
    </w:p>
    <w:p>
      <w:pPr>
        <w:pStyle w:val="BodyText"/>
      </w:pPr>
      <w:r>
        <w:t xml:space="preserve">Name: [Authorized Signatory]</w:t>
      </w:r>
      <w:r>
        <w:br/>
      </w:r>
      <w:r>
        <w:t xml:space="preserve">Title: [Title]</w:t>
      </w:r>
      <w:r>
        <w:br/>
      </w:r>
      <w:r>
        <w:t xml:space="preserve">Signature &amp; Company Stamp</w:t>
      </w:r>
      <w:r>
        <w:br/>
      </w:r>
      <w:r>
        <w:t xml:space="preserve">Date: _______________</w:t>
      </w:r>
    </w:p>
    <w:p>
      <w:pPr>
        <w:pStyle w:val="BodyText"/>
      </w:pPr>
      <w:r>
        <w:rPr>
          <w:bCs/>
          <w:b/>
        </w:rPr>
        <w:t xml:space="preserve">Important Notice:</w:t>
      </w:r>
      <w:r>
        <w:t xml:space="preserve"> </w:t>
      </w:r>
      <w:r>
        <w:t xml:space="preserve">This Quotation Estimate is a non-binding document until formally accepted by both parties. All prices are quoted in Saudi Riyals (SAR) and are inclusive of the 15% Value Added Tax (VAT) as mandated by the Zakat, Tax and Customs Authority (ZATCA) of Saudi Arabia. This document is prepared specifically for the client named above and may not be transferred or used for any other purpose. For any queries regarding this Quotation Estimate or the proposed Business Consultant engagement in Saudi Arabia Riyadh, please contact our office at +966 11 456 7890 or info@alriyadhstrategic.sa.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Business Consultant - Saudi Arabia Riyadh</dc:title>
  <dc:creator/>
  <dc:language>en</dc:language>
  <cp:keywords/>
  <dcterms:created xsi:type="dcterms:W3CDTF">2026-10-10T07:02:52Z</dcterms:created>
  <dcterms:modified xsi:type="dcterms:W3CDTF">2026-10-10T07:02:52Z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