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South Africa Johannesburg | Reference No: QE-JHB-2025-0472</w:t>
      </w:r>
    </w:p>
    <w:p>
      <w:pPr>
        <w:pStyle w:val="BodyText"/>
      </w:pPr>
      <w:r>
        <w:t xml:space="preserve">Date of Issue: 15 June 2025 | Valid Until: 15 July 2025</w:t>
      </w:r>
    </w:p>
    <w:bookmarkEnd w:id="20"/>
    <w:bookmarkStart w:id="21" w:name="prepared-by"/>
    <w:p>
      <w:pPr>
        <w:pStyle w:val="Heading3"/>
      </w:pPr>
      <w:r>
        <w:t xml:space="preserve">Prepared By</w:t>
      </w:r>
    </w:p>
    <w:p>
      <w:pPr>
        <w:pStyle w:val="FirstParagraph"/>
      </w:pPr>
      <w:r>
        <w:rPr>
          <w:bCs/>
          <w:b/>
        </w:rPr>
        <w:t xml:space="preserve">Strategic Advisory Partners (Pty) Ltd</w:t>
      </w:r>
    </w:p>
    <w:p>
      <w:pPr>
        <w:pStyle w:val="BodyText"/>
      </w:pPr>
      <w:r>
        <w:t xml:space="preserve">120 Rivonia Road, Sandton</w:t>
      </w:r>
    </w:p>
    <w:p>
      <w:pPr>
        <w:pStyle w:val="BodyText"/>
      </w:pPr>
      <w:r>
        <w:t xml:space="preserve">Johannesburg, 2196, South Africa</w:t>
      </w:r>
    </w:p>
    <w:p>
      <w:pPr>
        <w:pStyle w:val="BodyText"/>
      </w:pPr>
      <w:r>
        <w:t xml:space="preserve">Tel: +27 (0)11 447 8200</w:t>
      </w:r>
    </w:p>
    <w:p>
      <w:pPr>
        <w:pStyle w:val="BodyText"/>
      </w:pPr>
      <w:r>
        <w:t xml:space="preserve">Email: quotations@sapartners.co.za</w:t>
      </w:r>
    </w:p>
    <w:p>
      <w:pPr>
        <w:pStyle w:val="BodyText"/>
      </w:pPr>
      <w:r>
        <w:t xml:space="preserve">VAT No: 4930 128 765</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45 Marshall Street</w:t>
      </w:r>
    </w:p>
    <w:p>
      <w:pPr>
        <w:pStyle w:val="BodyText"/>
      </w:pPr>
      <w:r>
        <w:t xml:space="preserve">Johannesburg CBD, 2001, South Africa</w:t>
      </w:r>
    </w:p>
    <w:p>
      <w:pPr>
        <w:pStyle w:val="BodyText"/>
      </w:pPr>
      <w:r>
        <w:t xml:space="preserve">Contact Person: [Name]</w:t>
      </w:r>
    </w:p>
    <w:p>
      <w:pPr>
        <w:pStyle w:val="BodyText"/>
      </w:pPr>
      <w:r>
        <w:t xml:space="preserve">Email: [client email]</w:t>
      </w:r>
    </w:p>
    <w:p>
      <w:pPr>
        <w:pStyle w:val="BodyText"/>
      </w:pPr>
      <w:r>
        <w:t xml:space="preserve">Tel: [client phone]</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Strategic Advisory Partners (Pty) Ltd to provide a comprehensive and transparent breakdown of professional fees for the engagement of a</w:t>
      </w:r>
      <w:r>
        <w:t xml:space="preserve"> </w:t>
      </w:r>
      <w:r>
        <w:t xml:space="preserve">Business Consultant</w:t>
      </w:r>
      <w:r>
        <w:t xml:space="preserve"> </w:t>
      </w:r>
      <w:r>
        <w:t xml:space="preserve">to deliver strategic advisory services to the client. This document is specifically tailored for operations within</w:t>
      </w:r>
      <w:r>
        <w:t xml:space="preserve"> </w:t>
      </w:r>
      <w:r>
        <w:t xml:space="preserve">South Africa Johannesburg</w:t>
      </w:r>
      <w:r>
        <w:t xml:space="preserve">, taking into account the local regulatory environment, market conditions, and the unique economic landscape of the Gauteng province. The</w:t>
      </w:r>
      <w:r>
        <w:t xml:space="preserve"> </w:t>
      </w:r>
      <w:r>
        <w:t xml:space="preserve">Quotation Estimate</w:t>
      </w:r>
      <w:r>
        <w:t xml:space="preserve"> </w:t>
      </w:r>
      <w:r>
        <w:t xml:space="preserve">outlined herein is binding for a period of thirty (30) calendar days from the date of issue, after which rates may be subject to revision based on prevailing market conditions in</w:t>
      </w:r>
      <w:r>
        <w:t xml:space="preserve"> </w:t>
      </w:r>
      <w:r>
        <w:t xml:space="preserve">South Africa Johannesburg</w:t>
      </w:r>
      <w:r>
        <w:t xml:space="preserve">.</w:t>
      </w:r>
    </w:p>
    <w:bookmarkEnd w:id="23"/>
    <w:bookmarkStart w:id="24" w:name="X38c04614c6852dc42671939c78d168ce144be86"/>
    <w:p>
      <w:pPr>
        <w:pStyle w:val="Heading2"/>
      </w:pPr>
      <w:r>
        <w:t xml:space="preserve">2. Scope of Services – Business Consultant Engagement</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provide the following professional services to the client, all conducted primarily within the</w:t>
      </w:r>
      <w:r>
        <w:t xml:space="preserve"> </w:t>
      </w:r>
      <w:r>
        <w:t xml:space="preserve">South Africa Johannesburg</w:t>
      </w:r>
      <w:r>
        <w:t xml:space="preserve"> </w:t>
      </w:r>
      <w:r>
        <w:t xml:space="preserve">metropolitan area, with the option of remote engagement as required:</w:t>
      </w:r>
    </w:p>
    <w:p>
      <w:pPr>
        <w:numPr>
          <w:ilvl w:val="0"/>
          <w:numId w:val="1001"/>
        </w:numPr>
        <w:pStyle w:val="Compact"/>
      </w:pPr>
      <w:r>
        <w:rPr>
          <w:bCs/>
          <w:b/>
        </w:rPr>
        <w:t xml:space="preserve">Strategic Business Planning:</w:t>
      </w:r>
      <w:r>
        <w:t xml:space="preserve"> </w:t>
      </w:r>
      <w:r>
        <w:t xml:space="preserve">Development of a three-year strategic roadmap aligned with the client's organisational objectives, incorporating market analysis specific to the Johannesburg and Gauteng business environment.</w:t>
      </w:r>
    </w:p>
    <w:p>
      <w:pPr>
        <w:numPr>
          <w:ilvl w:val="0"/>
          <w:numId w:val="1001"/>
        </w:numPr>
        <w:pStyle w:val="Compact"/>
      </w:pPr>
      <w:r>
        <w:rPr>
          <w:bCs/>
          <w:b/>
        </w:rPr>
        <w:t xml:space="preserve">Operational Efficiency Review:</w:t>
      </w:r>
      <w:r>
        <w:t xml:space="preserve"> </w:t>
      </w:r>
      <w:r>
        <w:t xml:space="preserve">A thorough assessment of current business processes, supply chain operations, and resource allocation to identify areas of improvement and cost optimisation.</w:t>
      </w:r>
    </w:p>
    <w:p>
      <w:pPr>
        <w:numPr>
          <w:ilvl w:val="0"/>
          <w:numId w:val="1001"/>
        </w:numPr>
        <w:pStyle w:val="Compact"/>
      </w:pPr>
      <w:r>
        <w:rPr>
          <w:bCs/>
          <w:b/>
        </w:rPr>
        <w:t xml:space="preserve">Financial Modelling and Forecasting:</w:t>
      </w:r>
      <w:r>
        <w:t xml:space="preserve"> </w:t>
      </w:r>
      <w:r>
        <w:t xml:space="preserve">Construction of detailed financial models, cash flow projections, and scenario analyses to support informed decision-making by the client's executive team.</w:t>
      </w:r>
    </w:p>
    <w:p>
      <w:pPr>
        <w:numPr>
          <w:ilvl w:val="0"/>
          <w:numId w:val="1001"/>
        </w:numPr>
        <w:pStyle w:val="Compact"/>
      </w:pPr>
      <w:r>
        <w:rPr>
          <w:bCs/>
          <w:b/>
        </w:rPr>
        <w:t xml:space="preserve">Market Entry and Expansion Strategy:</w:t>
      </w:r>
      <w:r>
        <w:t xml:space="preserve"> </w:t>
      </w:r>
      <w:r>
        <w:t xml:space="preserve">Advisory on expansion opportunities within</w:t>
      </w:r>
      <w:r>
        <w:t xml:space="preserve"> </w:t>
      </w:r>
      <w:r>
        <w:t xml:space="preserve">South Africa Johannesburg</w:t>
      </w:r>
      <w:r>
        <w:t xml:space="preserve"> </w:t>
      </w:r>
      <w:r>
        <w:t xml:space="preserve">and broader Gauteng markets, including competitor analysis and customer segmentation.</w:t>
      </w:r>
    </w:p>
    <w:p>
      <w:pPr>
        <w:numPr>
          <w:ilvl w:val="0"/>
          <w:numId w:val="1001"/>
        </w:numPr>
        <w:pStyle w:val="Compact"/>
      </w:pPr>
      <w:r>
        <w:rPr>
          <w:bCs/>
          <w:b/>
        </w:rPr>
        <w:t xml:space="preserve">Organisational Development:</w:t>
      </w:r>
      <w:r>
        <w:t xml:space="preserve"> </w:t>
      </w:r>
      <w:r>
        <w:t xml:space="preserve">Guidance on corporate governance structures, leadership development frameworks, and change management strategies appropriate for the South African business context.</w:t>
      </w:r>
    </w:p>
    <w:p>
      <w:pPr>
        <w:numPr>
          <w:ilvl w:val="0"/>
          <w:numId w:val="1001"/>
        </w:numPr>
        <w:pStyle w:val="Compact"/>
      </w:pPr>
      <w:r>
        <w:rPr>
          <w:bCs/>
          <w:b/>
        </w:rPr>
        <w:t xml:space="preserve">Regulatory and Compliance Advisory:</w:t>
      </w:r>
      <w:r>
        <w:t xml:space="preserve"> </w:t>
      </w:r>
      <w:r>
        <w:t xml:space="preserve">Guidance on compliance with South African legislation including the Companies Act 71 of 2008, B-BBEE Act, POPIA, and relevant Johannesburg municipal by-laws.</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details the professional fees for the</w:t>
      </w:r>
      <w:r>
        <w:t xml:space="preserve"> </w:t>
      </w:r>
      <w:r>
        <w:t xml:space="preserve">Business Consultant</w:t>
      </w:r>
      <w:r>
        <w:t xml:space="preserve"> </w:t>
      </w:r>
      <w:r>
        <w:t xml:space="preserve">engagement. All rates are quoted in South African Rand (ZAR) and are inclusive of Value Added Tax (VAT) at the current rate of 15% as applicable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Initial Discovery and Diagnostic Phase – Business Consultant on-site assessment in Johannesburg</w:t>
            </w:r>
          </w:p>
        </w:tc>
        <w:tc>
          <w:tcPr/>
          <w:p>
            <w:pPr>
              <w:pStyle w:val="Compact"/>
              <w:jc w:val="left"/>
            </w:pPr>
            <w:r>
              <w:t xml:space="preserve">5 days</w:t>
            </w:r>
          </w:p>
        </w:tc>
        <w:tc>
          <w:tcPr/>
          <w:p>
            <w:pPr>
              <w:pStyle w:val="Compact"/>
              <w:jc w:val="left"/>
            </w:pPr>
            <w:r>
              <w:t xml:space="preserve">R 8,500 / day</w:t>
            </w:r>
          </w:p>
        </w:tc>
        <w:tc>
          <w:tcPr/>
          <w:p>
            <w:pPr>
              <w:pStyle w:val="Compact"/>
              <w:jc w:val="left"/>
            </w:pPr>
            <w:r>
              <w:t xml:space="preserve">R 42,500.00</w:t>
            </w:r>
          </w:p>
        </w:tc>
      </w:tr>
      <w:tr>
        <w:tc>
          <w:tcPr/>
          <w:p>
            <w:pPr>
              <w:pStyle w:val="Compact"/>
              <w:jc w:val="left"/>
            </w:pPr>
            <w:r>
              <w:t xml:space="preserve">1.2</w:t>
            </w:r>
          </w:p>
        </w:tc>
        <w:tc>
          <w:tcPr/>
          <w:p>
            <w:pPr>
              <w:pStyle w:val="Compact"/>
              <w:jc w:val="left"/>
            </w:pPr>
            <w:r>
              <w:t xml:space="preserve">Strategic Business Plan Development and Presentation</w:t>
            </w:r>
          </w:p>
        </w:tc>
        <w:tc>
          <w:tcPr/>
          <w:p>
            <w:pPr>
              <w:pStyle w:val="Compact"/>
              <w:jc w:val="left"/>
            </w:pPr>
            <w:r>
              <w:t xml:space="preserve">10 days</w:t>
            </w:r>
          </w:p>
        </w:tc>
        <w:tc>
          <w:tcPr/>
          <w:p>
            <w:pPr>
              <w:pStyle w:val="Compact"/>
              <w:jc w:val="left"/>
            </w:pPr>
            <w:r>
              <w:t xml:space="preserve">R 8,500 / day</w:t>
            </w:r>
          </w:p>
        </w:tc>
        <w:tc>
          <w:tcPr/>
          <w:p>
            <w:pPr>
              <w:pStyle w:val="Compact"/>
              <w:jc w:val="left"/>
            </w:pPr>
            <w:r>
              <w:t xml:space="preserve">R 85,000.00</w:t>
            </w:r>
          </w:p>
        </w:tc>
      </w:tr>
      <w:tr>
        <w:tc>
          <w:tcPr/>
          <w:p>
            <w:pPr>
              <w:pStyle w:val="Compact"/>
              <w:jc w:val="left"/>
            </w:pPr>
            <w:r>
              <w:t xml:space="preserve">1.3</w:t>
            </w:r>
          </w:p>
        </w:tc>
        <w:tc>
          <w:tcPr/>
          <w:p>
            <w:pPr>
              <w:pStyle w:val="Compact"/>
              <w:jc w:val="left"/>
            </w:pPr>
            <w:r>
              <w:t xml:space="preserve">Operational Efficiency Audit and Recommendations Report</w:t>
            </w:r>
          </w:p>
        </w:tc>
        <w:tc>
          <w:tcPr/>
          <w:p>
            <w:pPr>
              <w:pStyle w:val="Compact"/>
              <w:jc w:val="left"/>
            </w:pPr>
            <w:r>
              <w:t xml:space="preserve">8 days</w:t>
            </w:r>
          </w:p>
        </w:tc>
        <w:tc>
          <w:tcPr/>
          <w:p>
            <w:pPr>
              <w:pStyle w:val="Compact"/>
              <w:jc w:val="left"/>
            </w:pPr>
            <w:r>
              <w:t xml:space="preserve">R 8,500 / day</w:t>
            </w:r>
          </w:p>
        </w:tc>
        <w:tc>
          <w:tcPr/>
          <w:p>
            <w:pPr>
              <w:pStyle w:val="Compact"/>
              <w:jc w:val="left"/>
            </w:pPr>
            <w:r>
              <w:t xml:space="preserve">R 68,000.00</w:t>
            </w:r>
          </w:p>
        </w:tc>
      </w:tr>
      <w:tr>
        <w:tc>
          <w:tcPr/>
          <w:p>
            <w:pPr>
              <w:pStyle w:val="Compact"/>
              <w:jc w:val="left"/>
            </w:pPr>
            <w:r>
              <w:t xml:space="preserve">1.4</w:t>
            </w:r>
          </w:p>
        </w:tc>
        <w:tc>
          <w:tcPr/>
          <w:p>
            <w:pPr>
              <w:pStyle w:val="Compact"/>
              <w:jc w:val="left"/>
            </w:pPr>
            <w:r>
              <w:t xml:space="preserve">Financial Modelling, Forecasting and Scenario Analysis</w:t>
            </w:r>
          </w:p>
        </w:tc>
        <w:tc>
          <w:tcPr/>
          <w:p>
            <w:pPr>
              <w:pStyle w:val="Compact"/>
              <w:jc w:val="left"/>
            </w:pPr>
            <w:r>
              <w:t xml:space="preserve">7 days</w:t>
            </w:r>
          </w:p>
        </w:tc>
        <w:tc>
          <w:tcPr/>
          <w:p>
            <w:pPr>
              <w:pStyle w:val="Compact"/>
              <w:jc w:val="left"/>
            </w:pPr>
            <w:r>
              <w:t xml:space="preserve">R 9,200 / day</w:t>
            </w:r>
          </w:p>
        </w:tc>
        <w:tc>
          <w:tcPr/>
          <w:p>
            <w:pPr>
              <w:pStyle w:val="Compact"/>
              <w:jc w:val="left"/>
            </w:pPr>
            <w:r>
              <w:t xml:space="preserve">R 64,400.00</w:t>
            </w:r>
          </w:p>
        </w:tc>
      </w:tr>
      <w:tr>
        <w:tc>
          <w:tcPr/>
          <w:p>
            <w:pPr>
              <w:pStyle w:val="Compact"/>
              <w:jc w:val="left"/>
            </w:pPr>
            <w:r>
              <w:t xml:space="preserve">1.5</w:t>
            </w:r>
          </w:p>
        </w:tc>
        <w:tc>
          <w:tcPr/>
          <w:p>
            <w:pPr>
              <w:pStyle w:val="Compact"/>
              <w:jc w:val="left"/>
            </w:pPr>
            <w:r>
              <w:t xml:space="preserve">Market Entry Strategy for South Africa Johannesburg and Gauteng</w:t>
            </w:r>
          </w:p>
        </w:tc>
        <w:tc>
          <w:tcPr/>
          <w:p>
            <w:pPr>
              <w:pStyle w:val="Compact"/>
              <w:jc w:val="left"/>
            </w:pPr>
            <w:r>
              <w:t xml:space="preserve">6 days</w:t>
            </w:r>
          </w:p>
        </w:tc>
        <w:tc>
          <w:tcPr/>
          <w:p>
            <w:pPr>
              <w:pStyle w:val="Compact"/>
              <w:jc w:val="left"/>
            </w:pPr>
            <w:r>
              <w:t xml:space="preserve">R 8,500 / day</w:t>
            </w:r>
          </w:p>
        </w:tc>
        <w:tc>
          <w:tcPr/>
          <w:p>
            <w:pPr>
              <w:pStyle w:val="Compact"/>
              <w:jc w:val="left"/>
            </w:pPr>
            <w:r>
              <w:t xml:space="preserve">R 51,000.00</w:t>
            </w:r>
          </w:p>
        </w:tc>
      </w:tr>
      <w:tr>
        <w:tc>
          <w:tcPr/>
          <w:p>
            <w:pPr>
              <w:pStyle w:val="Compact"/>
              <w:jc w:val="left"/>
            </w:pPr>
            <w:r>
              <w:t xml:space="preserve">1.6</w:t>
            </w:r>
          </w:p>
        </w:tc>
        <w:tc>
          <w:tcPr/>
          <w:p>
            <w:pPr>
              <w:pStyle w:val="Compact"/>
              <w:jc w:val="left"/>
            </w:pPr>
            <w:r>
              <w:t xml:space="preserve">Organisational Development and Change Management Workshop (2 sessions)</w:t>
            </w:r>
          </w:p>
        </w:tc>
        <w:tc>
          <w:tcPr/>
          <w:p>
            <w:pPr>
              <w:pStyle w:val="Compact"/>
              <w:jc w:val="left"/>
            </w:pPr>
            <w:r>
              <w:t xml:space="preserve">2 days</w:t>
            </w:r>
          </w:p>
        </w:tc>
        <w:tc>
          <w:tcPr/>
          <w:p>
            <w:pPr>
              <w:pStyle w:val="Compact"/>
              <w:jc w:val="left"/>
            </w:pPr>
            <w:r>
              <w:t xml:space="preserve">R 12,000 / day</w:t>
            </w:r>
          </w:p>
        </w:tc>
        <w:tc>
          <w:tcPr/>
          <w:p>
            <w:pPr>
              <w:pStyle w:val="Compact"/>
              <w:jc w:val="left"/>
            </w:pPr>
            <w:r>
              <w:t xml:space="preserve">R 24,000.00</w:t>
            </w:r>
          </w:p>
        </w:tc>
      </w:tr>
      <w:tr>
        <w:tc>
          <w:tcPr/>
          <w:p>
            <w:pPr>
              <w:pStyle w:val="Compact"/>
              <w:jc w:val="left"/>
            </w:pPr>
            <w:r>
              <w:t xml:space="preserve">1.7</w:t>
            </w:r>
          </w:p>
        </w:tc>
        <w:tc>
          <w:tcPr/>
          <w:p>
            <w:pPr>
              <w:pStyle w:val="Compact"/>
              <w:jc w:val="left"/>
            </w:pPr>
            <w:r>
              <w:t xml:space="preserve">Regulatory Compliance Advisory and Documentation</w:t>
            </w:r>
          </w:p>
        </w:tc>
        <w:tc>
          <w:tcPr/>
          <w:p>
            <w:pPr>
              <w:pStyle w:val="Compact"/>
              <w:jc w:val="left"/>
            </w:pPr>
            <w:r>
              <w:t xml:space="preserve">4 days</w:t>
            </w:r>
          </w:p>
        </w:tc>
        <w:tc>
          <w:tcPr/>
          <w:p>
            <w:pPr>
              <w:pStyle w:val="Compact"/>
              <w:jc w:val="left"/>
            </w:pPr>
            <w:r>
              <w:t xml:space="preserve">R 8,500 / day</w:t>
            </w:r>
          </w:p>
        </w:tc>
        <w:tc>
          <w:tcPr/>
          <w:p>
            <w:pPr>
              <w:pStyle w:val="Compact"/>
              <w:jc w:val="left"/>
            </w:pPr>
            <w:r>
              <w:t xml:space="preserve">R 34,000.00</w:t>
            </w:r>
          </w:p>
        </w:tc>
      </w:tr>
      <w:tr>
        <w:tc>
          <w:tcPr/>
          <w:p>
            <w:pPr>
              <w:pStyle w:val="Compact"/>
              <w:jc w:val="left"/>
            </w:pPr>
            <w:r>
              <w:t xml:space="preserve">1.8</w:t>
            </w:r>
          </w:p>
        </w:tc>
        <w:tc>
          <w:tcPr/>
          <w:p>
            <w:pPr>
              <w:pStyle w:val="Compact"/>
              <w:jc w:val="left"/>
            </w:pPr>
            <w:r>
              <w:t xml:space="preserve">Ongoing Advisory Retainer (3 months, 2 days per month)</w:t>
            </w:r>
          </w:p>
        </w:tc>
        <w:tc>
          <w:tcPr/>
          <w:p>
            <w:pPr>
              <w:pStyle w:val="Compact"/>
              <w:jc w:val="left"/>
            </w:pPr>
            <w:r>
              <w:t xml:space="preserve">6 days</w:t>
            </w:r>
          </w:p>
        </w:tc>
        <w:tc>
          <w:tcPr/>
          <w:p>
            <w:pPr>
              <w:pStyle w:val="Compact"/>
              <w:jc w:val="left"/>
            </w:pPr>
            <w:r>
              <w:t xml:space="preserve">R 8,500 / day</w:t>
            </w:r>
          </w:p>
        </w:tc>
        <w:tc>
          <w:tcPr/>
          <w:p>
            <w:pPr>
              <w:pStyle w:val="Compact"/>
              <w:jc w:val="left"/>
            </w:pPr>
            <w:r>
              <w:t xml:space="preserve">R 51,000.00</w:t>
            </w:r>
          </w:p>
        </w:tc>
      </w:tr>
      <w:tr>
        <w:tc>
          <w:tcPr/>
          <w:p>
            <w:pPr>
              <w:pStyle w:val="Compact"/>
              <w:jc w:val="left"/>
            </w:pPr>
            <w:r>
              <w:t xml:space="preserve">2.1</w:t>
            </w:r>
          </w:p>
        </w:tc>
        <w:tc>
          <w:tcPr/>
          <w:p>
            <w:pPr>
              <w:pStyle w:val="Compact"/>
              <w:jc w:val="left"/>
            </w:pPr>
            <w:r>
              <w:t xml:space="preserve">Travel and Accommodation within Johannesburg Metro (estimated)</w:t>
            </w:r>
          </w:p>
        </w:tc>
        <w:tc>
          <w:tcPr/>
          <w:p>
            <w:pPr>
              <w:pStyle w:val="Compact"/>
              <w:jc w:val="left"/>
            </w:pPr>
            <w:r>
              <w:t xml:space="preserve">Flat</w:t>
            </w:r>
          </w:p>
        </w:tc>
        <w:tc>
          <w:tcPr/>
          <w:p>
            <w:pPr>
              <w:pStyle w:val="Compact"/>
              <w:jc w:val="left"/>
            </w:pPr>
            <w:r>
              <w:t xml:space="preserve">—</w:t>
            </w:r>
          </w:p>
        </w:tc>
        <w:tc>
          <w:tcPr/>
          <w:p>
            <w:pPr>
              <w:pStyle w:val="Compact"/>
              <w:jc w:val="left"/>
            </w:pPr>
            <w:r>
              <w:t xml:space="preserve">R 12,500.00</w:t>
            </w:r>
          </w:p>
        </w:tc>
      </w:tr>
      <w:tr>
        <w:tc>
          <w:tcPr/>
          <w:p>
            <w:pPr>
              <w:pStyle w:val="Compact"/>
              <w:jc w:val="left"/>
            </w:pPr>
            <w:r>
              <w:t xml:space="preserve">2.2</w:t>
            </w:r>
          </w:p>
        </w:tc>
        <w:tc>
          <w:tcPr/>
          <w:p>
            <w:pPr>
              <w:pStyle w:val="Compact"/>
              <w:jc w:val="left"/>
            </w:pPr>
            <w:r>
              <w:t xml:space="preserve">Research, Data Acquisition and Third-Party Reports</w:t>
            </w:r>
          </w:p>
        </w:tc>
        <w:tc>
          <w:tcPr/>
          <w:p>
            <w:pPr>
              <w:pStyle w:val="Compact"/>
              <w:jc w:val="left"/>
            </w:pPr>
            <w:r>
              <w:t xml:space="preserve">Flat</w:t>
            </w:r>
          </w:p>
        </w:tc>
        <w:tc>
          <w:tcPr/>
          <w:p>
            <w:pPr>
              <w:pStyle w:val="Compact"/>
              <w:jc w:val="left"/>
            </w:pPr>
            <w:r>
              <w:t xml:space="preserve">—</w:t>
            </w:r>
          </w:p>
        </w:tc>
        <w:tc>
          <w:tcPr/>
          <w:p>
            <w:pPr>
              <w:pStyle w:val="Compact"/>
              <w:jc w:val="left"/>
            </w:pPr>
            <w:r>
              <w:t xml:space="preserve">R 8,000.00</w:t>
            </w:r>
          </w:p>
        </w:tc>
      </w:tr>
      <w:tr>
        <w:tc>
          <w:tcPr>
            <w:gridSpan w:val="4"/>
          </w:tcPr>
          <w:p>
            <w:pPr>
              <w:pStyle w:val="Compact"/>
              <w:jc w:val="left"/>
            </w:pPr>
            <w:r>
              <w:t xml:space="preserve">Subtotal (Excluding VAT)</w:t>
            </w:r>
          </w:p>
        </w:tc>
        <w:tc>
          <w:tcPr/>
          <w:p>
            <w:pPr>
              <w:pStyle w:val="Compact"/>
              <w:jc w:val="left"/>
            </w:pPr>
            <w:r>
              <w:t xml:space="preserve">R 440,400.00</w:t>
            </w:r>
          </w:p>
        </w:tc>
      </w:tr>
      <w:tr>
        <w:tc>
          <w:tcPr>
            <w:gridSpan w:val="4"/>
          </w:tcPr>
          <w:p>
            <w:pPr>
              <w:pStyle w:val="Compact"/>
              <w:jc w:val="left"/>
            </w:pPr>
            <w:r>
              <w:t xml:space="preserve">VAT @ 15%</w:t>
            </w:r>
          </w:p>
        </w:tc>
        <w:tc>
          <w:tcPr/>
          <w:p>
            <w:pPr>
              <w:pStyle w:val="Compact"/>
              <w:jc w:val="left"/>
            </w:pPr>
            <w:r>
              <w:t xml:space="preserve">R 66,060.00</w:t>
            </w:r>
          </w:p>
        </w:tc>
      </w:tr>
      <w:tr>
        <w:tc>
          <w:tcPr>
            <w:gridSpan w:val="4"/>
          </w:tcPr>
          <w:p>
            <w:pPr>
              <w:pStyle w:val="Compact"/>
              <w:jc w:val="left"/>
            </w:pPr>
            <w:r>
              <w:t xml:space="preserve">Total Quotation Estimate (Including VAT)</w:t>
            </w:r>
          </w:p>
        </w:tc>
        <w:tc>
          <w:tcPr/>
          <w:p>
            <w:pPr>
              <w:pStyle w:val="Compact"/>
              <w:jc w:val="left"/>
            </w:pPr>
            <w:r>
              <w:t xml:space="preserve">R 506,460.00</w:t>
            </w:r>
          </w:p>
        </w:tc>
      </w:tr>
    </w:tbl>
    <w:bookmarkEnd w:id="25"/>
    <w:bookmarkStart w:id="26" w:name="payment-terms-and-conditions"/>
    <w:p>
      <w:pPr>
        <w:pStyle w:val="Heading2"/>
      </w:pPr>
      <w:r>
        <w:t xml:space="preserve">4. Payment Terms and Conditions</w:t>
      </w:r>
    </w:p>
    <w:p>
      <w:pPr>
        <w:numPr>
          <w:ilvl w:val="0"/>
          <w:numId w:val="1002"/>
        </w:numPr>
        <w:pStyle w:val="Compact"/>
      </w:pPr>
      <w:r>
        <w:t xml:space="preserve">A deposit of 30% of the total</w:t>
      </w:r>
      <w:r>
        <w:t xml:space="preserve"> </w:t>
      </w:r>
      <w:r>
        <w:t xml:space="preserve">Quotation Estimate</w:t>
      </w:r>
      <w:r>
        <w:t xml:space="preserve"> </w:t>
      </w:r>
      <w:r>
        <w:t xml:space="preserve">amount, being R 151,938.00, is due upon acceptance of this document and prior to commencement of the</w:t>
      </w:r>
      <w:r>
        <w:t xml:space="preserve"> </w:t>
      </w:r>
      <w:r>
        <w:t xml:space="preserve">Business Consultant</w:t>
      </w:r>
      <w:r>
        <w:t xml:space="preserve"> </w:t>
      </w:r>
      <w:r>
        <w:t xml:space="preserve">engagement.</w:t>
      </w:r>
    </w:p>
    <w:p>
      <w:pPr>
        <w:numPr>
          <w:ilvl w:val="0"/>
          <w:numId w:val="1002"/>
        </w:numPr>
        <w:pStyle w:val="Compact"/>
      </w:pPr>
      <w:r>
        <w:t xml:space="preserve">40% of the total amount, being R 202,584.00, is payable upon completion of the Strategic Business Plan and Operational Efficiency Audit deliverables.</w:t>
      </w:r>
    </w:p>
    <w:p>
      <w:pPr>
        <w:numPr>
          <w:ilvl w:val="0"/>
          <w:numId w:val="1002"/>
        </w:numPr>
        <w:pStyle w:val="Compact"/>
      </w:pPr>
      <w:r>
        <w:t xml:space="preserve">The remaining 30%, being R 151,938.00, is payable upon final delivery of all remaining deliverables and the concluding advisory session.</w:t>
      </w:r>
    </w:p>
    <w:p>
      <w:pPr>
        <w:numPr>
          <w:ilvl w:val="0"/>
          <w:numId w:val="1002"/>
        </w:numPr>
        <w:pStyle w:val="Compact"/>
      </w:pPr>
      <w:r>
        <w:t xml:space="preserve">All payments are to be made via electronic funds transfer (EFT) to the bank account of Strategic Advisory Partners (Pty) Ltd, First National Bank, Johannesburg, Account No: 632 104 887 2, Branch Code: 250655.</w:t>
      </w:r>
    </w:p>
    <w:p>
      <w:pPr>
        <w:numPr>
          <w:ilvl w:val="0"/>
          <w:numId w:val="1002"/>
        </w:numPr>
        <w:pStyle w:val="Compact"/>
      </w:pPr>
      <w:r>
        <w:t xml:space="preserve">Overdue payments will attract interest at the rate of 2% per month or the maximum rate permitted by the National Credit Act, whichever is lower, as per South African law.</w:t>
      </w:r>
    </w:p>
    <w:bookmarkEnd w:id="26"/>
    <w:bookmarkStart w:id="27" w:name="X985eb999f0cfcda5f1af1a675bf0b7c2e0a6c64"/>
    <w:p>
      <w:pPr>
        <w:pStyle w:val="Heading2"/>
      </w:pPr>
      <w:r>
        <w:t xml:space="preserve">5. Terms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Thereafter, rates and availability of the</w:t>
      </w:r>
      <w:r>
        <w:t xml:space="preserve"> </w:t>
      </w:r>
      <w:r>
        <w:t xml:space="preserve">Business Consultant</w:t>
      </w:r>
      <w:r>
        <w:t xml:space="preserve"> </w:t>
      </w:r>
      <w:r>
        <w:t xml:space="preserve">may be subject to change.</w:t>
      </w:r>
    </w:p>
    <w:p>
      <w:pPr>
        <w:numPr>
          <w:ilvl w:val="0"/>
          <w:numId w:val="1003"/>
        </w:numPr>
        <w:pStyle w:val="Compact"/>
      </w:pPr>
      <w:r>
        <w:t xml:space="preserve">All work performed by the</w:t>
      </w:r>
      <w:r>
        <w:t xml:space="preserve"> </w:t>
      </w:r>
      <w:r>
        <w:t xml:space="preserve">Business Consultant</w:t>
      </w:r>
      <w:r>
        <w:t xml:space="preserve"> </w:t>
      </w:r>
      <w:r>
        <w:t xml:space="preserve">shall be conducted in a professional, confidential, and ethical manner in accordance with the South African Institute of Professional Accountants (SAIPA) code of conduct and applicable professional standards.</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regarding all client information, trade secrets, and proprietary data encountered during the engagement in</w:t>
      </w:r>
      <w:r>
        <w:t xml:space="preserve"> </w:t>
      </w:r>
      <w:r>
        <w:t xml:space="preserve">South Africa Johannesburg</w:t>
      </w:r>
      <w:r>
        <w:t xml:space="preserve">. A separate Non-Disclosure Agreement (NDA) may be executed prior to commencement.</w:t>
      </w:r>
    </w:p>
    <w:p>
      <w:pPr>
        <w:numPr>
          <w:ilvl w:val="0"/>
          <w:numId w:val="1003"/>
        </w:numPr>
        <w:pStyle w:val="Compact"/>
      </w:pPr>
      <w:r>
        <w:t xml:space="preserve">Any additional services or scope changes beyond those outlined in this</w:t>
      </w:r>
      <w:r>
        <w:t xml:space="preserve"> </w:t>
      </w:r>
      <w:r>
        <w:t xml:space="preserve">Quotation Estimate</w:t>
      </w:r>
      <w:r>
        <w:t xml:space="preserve"> </w:t>
      </w:r>
      <w:r>
        <w:t xml:space="preserve">will be subject to a supplementary quotation and written approval by both parties.</w:t>
      </w:r>
    </w:p>
    <w:p>
      <w:pPr>
        <w:numPr>
          <w:ilvl w:val="0"/>
          <w:numId w:val="1003"/>
        </w:numPr>
        <w:pStyle w:val="Compact"/>
      </w:pPr>
      <w:r>
        <w:t xml:space="preserve">This engagement is governed by the laws of the Republic of South Africa, and any disputes shall be subject to the jurisdiction of the High Court of South Africa, Gauteng Division, Johannesburg.</w:t>
      </w:r>
    </w:p>
    <w:p>
      <w:pPr>
        <w:numPr>
          <w:ilvl w:val="0"/>
          <w:numId w:val="1003"/>
        </w:numPr>
        <w:pStyle w:val="Compact"/>
      </w:pPr>
      <w:r>
        <w:t xml:space="preserve">The</w:t>
      </w:r>
      <w:r>
        <w:t xml:space="preserve"> </w:t>
      </w:r>
      <w:r>
        <w:t xml:space="preserve">Business Consultant</w:t>
      </w:r>
      <w:r>
        <w:t xml:space="preserve"> </w:t>
      </w:r>
      <w:r>
        <w:t xml:space="preserve">reserves the right to decline or terminate the engagement with fourteen (14) days written notice, in which case fees for work completed to date shall be payable in full.</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contract until formally accepted in writing by the client. All services described herein are subject to the availability of the designated</w:t>
      </w:r>
      <w:r>
        <w:t xml:space="preserve"> </w:t>
      </w:r>
      <w:r>
        <w:t xml:space="preserve">Business Consultant</w:t>
      </w:r>
      <w:r>
        <w:t xml:space="preserve"> </w:t>
      </w:r>
      <w:r>
        <w:t xml:space="preserve">and the successful completion of a mutual due diligence process. Rates reflect current market conditions in</w:t>
      </w:r>
      <w:r>
        <w:t xml:space="preserve"> </w:t>
      </w:r>
      <w:r>
        <w:t xml:space="preserve">South Africa Johannesburg</w:t>
      </w:r>
      <w:r>
        <w:t xml:space="preserve"> </w:t>
      </w:r>
      <w:r>
        <w:t xml:space="preserve">as of June 2025.</w:t>
      </w:r>
    </w:p>
    <w:bookmarkEnd w:id="27"/>
    <w:bookmarkStart w:id="28" w:name="acceptance-and-authorisation"/>
    <w:p>
      <w:pPr>
        <w:pStyle w:val="Heading2"/>
      </w:pPr>
      <w:r>
        <w:t xml:space="preserve">6. Acceptance and Authorisation</w:t>
      </w:r>
    </w:p>
    <w:p>
      <w:pPr>
        <w:pStyle w:val="FirstParagraph"/>
      </w:pPr>
      <w:r>
        <w:t xml:space="preserve">By signing below, the client acknowledges and accepts the terms, conditions, and fee structure set out in this</w:t>
      </w:r>
      <w:r>
        <w:t xml:space="preserve"> </w:t>
      </w:r>
      <w:r>
        <w:t xml:space="preserve">Quotation Estimate</w:t>
      </w:r>
      <w:r>
        <w:t xml:space="preserve"> </w:t>
      </w:r>
      <w:r>
        <w:t xml:space="preserve">for the engagement of the</w:t>
      </w:r>
      <w:r>
        <w:t xml:space="preserve"> </w:t>
      </w:r>
      <w:r>
        <w:t xml:space="preserve">Business Consultant</w:t>
      </w:r>
      <w:r>
        <w:t xml:space="preserve"> </w:t>
      </w:r>
      <w:r>
        <w:t xml:space="preserve">as described herein, with services to be delivered in and around</w:t>
      </w:r>
      <w:r>
        <w:t xml:space="preserve"> </w:t>
      </w:r>
      <w:r>
        <w:t xml:space="preserve">South Africa Johannesburg</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Strategic Advisory Partners (Pty) Ltd:</w:t>
      </w:r>
    </w:p>
    <w:p>
      <w:pPr>
        <w:pStyle w:val="BodyText"/>
      </w:pPr>
      <w:r>
        <w:t xml:space="preserve">Name: Thabo M. Nkosi</w:t>
      </w:r>
    </w:p>
    <w:p>
      <w:pPr>
        <w:pStyle w:val="BodyText"/>
      </w:pPr>
      <w:r>
        <w:t xml:space="preserve">Title: Managing Director / Lead Business Consultant</w:t>
      </w:r>
    </w:p>
    <w:p>
      <w:pPr>
        <w:pStyle w:val="BodyText"/>
      </w:pPr>
      <w:r>
        <w:t xml:space="preserve">Signature: ______________________________</w:t>
      </w:r>
    </w:p>
    <w:p>
      <w:pPr>
        <w:pStyle w:val="BodyText"/>
      </w:pPr>
      <w:r>
        <w:t xml:space="preserve">Date: ______________________________</w:t>
      </w:r>
    </w:p>
    <w:p>
      <w:pPr>
        <w:pStyle w:val="BodyText"/>
      </w:pPr>
      <w:r>
        <w:t xml:space="preserve">Strategic Advisory Partners (Pty) Ltd | 120 Rivonia Road, Sandton, Johannesburg, 2196, South Africa</w:t>
      </w:r>
    </w:p>
    <w:p>
      <w:pPr>
        <w:pStyle w:val="BodyText"/>
      </w:pPr>
      <w:r>
        <w:t xml:space="preserve">This Quotation Estimate is the property of Strategic Advisory Partners (Pty) Ltd and may not be reproduced without written consent.</w:t>
      </w:r>
    </w:p>
    <w:p>
      <w:pPr>
        <w:pStyle w:val="BodyText"/>
      </w:pPr>
      <w:r>
        <w:t xml:space="preserve">Document Reference: QE-JHB-2025-0472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South Africa Johannesburg</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