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quotation-estimate"/>
    <w:p>
      <w:pPr>
        <w:pStyle w:val="Heading1"/>
      </w:pPr>
      <w:r>
        <w:t xml:space="preserve">Quotation Estimate</w:t>
      </w:r>
    </w:p>
    <w:p>
      <w:pPr>
        <w:pStyle w:val="FirstParagraph"/>
      </w:pPr>
      <w:r>
        <w:rPr>
          <w:bCs/>
          <w:b/>
        </w:rPr>
        <w:t xml:space="preserve">Strategic Business Consulting LLC</w:t>
      </w:r>
    </w:p>
    <w:p>
      <w:pPr>
        <w:pStyle w:val="BodyText"/>
      </w:pPr>
      <w:r>
        <w:t xml:space="preserve">Office 1204, Level 12, Al Reem Island Tower, Abu Dhabi, United Arab Emirates</w:t>
      </w:r>
    </w:p>
    <w:p>
      <w:pPr>
        <w:pStyle w:val="BodyText"/>
      </w:pPr>
      <w:r>
        <w:t xml:space="preserve">Tel: +971 2 555 0142 | Email: quotations@strategicbizconsult.ae</w:t>
      </w:r>
    </w:p>
    <w:p>
      <w:pPr>
        <w:pStyle w:val="BodyText"/>
      </w:pPr>
      <w:r>
        <w:t xml:space="preserve">Trade License No: 1045872 | VAT No: 100458720-1000</w:t>
      </w:r>
    </w:p>
    <w:bookmarkEnd w:id="20"/>
    <w:p>
      <w:pPr>
        <w:pStyle w:val="BodyText"/>
      </w:pPr>
      <w:r>
        <w:rPr>
          <w:bCs/>
          <w:b/>
        </w:rPr>
        <w:t xml:space="preserve">Quotation No:</w:t>
      </w:r>
      <w:r>
        <w:t xml:space="preserve"> </w:t>
      </w:r>
      <w:r>
        <w:t xml:space="preserve">QTE-2025-0487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Al Noor Trading Est.</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has been prepared by Strategic Business Consulting LLC, a licensed and registered</w:t>
      </w:r>
      <w:r>
        <w:t xml:space="preserve"> </w:t>
      </w:r>
      <w:r>
        <w:t xml:space="preserve">Business Consultant</w:t>
      </w:r>
      <w:r>
        <w:t xml:space="preserve"> </w:t>
      </w:r>
      <w:r>
        <w:t xml:space="preserve">operating in the</w:t>
      </w:r>
      <w:r>
        <w:t xml:space="preserve"> </w:t>
      </w:r>
      <w:r>
        <w:t xml:space="preserve">United Arab Emirates Abu Dhabi</w:t>
      </w:r>
      <w:r>
        <w:t xml:space="preserve"> </w:t>
      </w:r>
      <w:r>
        <w:t xml:space="preserve">commercial district, to provide Al Noor Trading Est. with a comprehensive and transparent breakdown of professional consulting services. This document outlines the scope of engagement, deliverables, timelines, and associated costs for the proposed business advisory programme. The</w:t>
      </w:r>
      <w:r>
        <w:t xml:space="preserve"> </w:t>
      </w:r>
      <w:r>
        <w:t xml:space="preserve">Quotation Estimate</w:t>
      </w:r>
      <w:r>
        <w:t xml:space="preserve"> </w:t>
      </w:r>
      <w:r>
        <w:t xml:space="preserve">is issued in accordance with the commercial regulations of the</w:t>
      </w:r>
      <w:r>
        <w:t xml:space="preserve"> </w:t>
      </w:r>
      <w:r>
        <w:t xml:space="preserve">United Arab Emirates Abu Dhabi</w:t>
      </w:r>
      <w:r>
        <w:t xml:space="preserve"> </w:t>
      </w:r>
      <w:r>
        <w:t xml:space="preserve">Department of Economic Development and complies with all applicable federal and emirate-level business advisory standards.</w:t>
      </w:r>
    </w:p>
    <w:bookmarkEnd w:id="21"/>
    <w:bookmarkStart w:id="22" w:name="X38c04614c6852dc42671939c78d168ce144be86"/>
    <w:p>
      <w:pPr>
        <w:pStyle w:val="Heading2"/>
      </w:pPr>
      <w:r>
        <w:t xml:space="preserve">2. Scope of Services – Business Consultant Engagement</w:t>
      </w:r>
    </w:p>
    <w:p>
      <w:pPr>
        <w:pStyle w:val="FirstParagraph"/>
      </w:pPr>
      <w:r>
        <w:t xml:space="preserve">As your dedicated</w:t>
      </w:r>
      <w:r>
        <w:t xml:space="preserve"> </w:t>
      </w:r>
      <w:r>
        <w:t xml:space="preserve">Business Consultant</w:t>
      </w:r>
      <w:r>
        <w:t xml:space="preserve"> </w:t>
      </w:r>
      <w:r>
        <w:t xml:space="preserve">in the</w:t>
      </w:r>
      <w:r>
        <w:t xml:space="preserve"> </w:t>
      </w:r>
      <w:r>
        <w:t xml:space="preserve">United Arab Emirates Abu Dhabi</w:t>
      </w:r>
      <w:r>
        <w:t xml:space="preserve"> </w:t>
      </w:r>
      <w:r>
        <w:t xml:space="preserve">market, our firm will deliver the following services over a twelve-month engagement period. Each service component has been tailored to address the specific operational, strategic, and regulatory needs of your enterprise within the Abu Dhabi business ecosystem.</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Rate (AED)</w:t>
            </w:r>
          </w:p>
        </w:tc>
        <w:tc>
          <w:tcPr/>
          <w:p>
            <w:pPr>
              <w:pStyle w:val="Compact"/>
              <w:jc w:val="left"/>
            </w:pPr>
            <w:r>
              <w:t xml:space="preserve">Amount (AED)</w:t>
            </w:r>
          </w:p>
        </w:tc>
      </w:tr>
      <w:tr>
        <w:tc>
          <w:tcPr/>
          <w:p>
            <w:pPr>
              <w:pStyle w:val="Compact"/>
              <w:jc w:val="left"/>
            </w:pPr>
            <w:r>
              <w:t xml:space="preserve">01</w:t>
            </w:r>
          </w:p>
        </w:tc>
        <w:tc>
          <w:tcPr/>
          <w:p>
            <w:pPr>
              <w:pStyle w:val="Compact"/>
              <w:jc w:val="left"/>
            </w:pPr>
            <w:r>
              <w:t xml:space="preserve">Strategic Business Planning &amp; Market Entry Analysis for the Abu Dhabi commercial sector</w:t>
            </w:r>
          </w:p>
        </w:tc>
        <w:tc>
          <w:tcPr/>
          <w:p>
            <w:pPr>
              <w:pStyle w:val="Compact"/>
              <w:jc w:val="left"/>
            </w:pPr>
            <w:r>
              <w:t xml:space="preserve">6 weeks</w:t>
            </w:r>
          </w:p>
        </w:tc>
        <w:tc>
          <w:tcPr/>
          <w:p>
            <w:pPr>
              <w:pStyle w:val="Compact"/>
              <w:jc w:val="left"/>
            </w:pPr>
            <w:r>
              <w:t xml:space="preserve">Project</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02</w:t>
            </w:r>
          </w:p>
        </w:tc>
        <w:tc>
          <w:tcPr/>
          <w:p>
            <w:pPr>
              <w:pStyle w:val="Compact"/>
              <w:jc w:val="left"/>
            </w:pPr>
            <w:r>
              <w:t xml:space="preserve">Operational Efficiency Audit and Process Re-engineering</w:t>
            </w:r>
          </w:p>
        </w:tc>
        <w:tc>
          <w:tcPr/>
          <w:p>
            <w:pPr>
              <w:pStyle w:val="Compact"/>
              <w:jc w:val="left"/>
            </w:pPr>
            <w:r>
              <w:t xml:space="preserve">4 weeks</w:t>
            </w:r>
          </w:p>
        </w:tc>
        <w:tc>
          <w:tcPr/>
          <w:p>
            <w:pPr>
              <w:pStyle w:val="Compact"/>
              <w:jc w:val="left"/>
            </w:pPr>
            <w:r>
              <w:t xml:space="preserve">Project</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03</w:t>
            </w:r>
          </w:p>
        </w:tc>
        <w:tc>
          <w:tcPr/>
          <w:p>
            <w:pPr>
              <w:pStyle w:val="Compact"/>
              <w:jc w:val="left"/>
            </w:pPr>
            <w:r>
              <w:t xml:space="preserve">Regulatory Compliance Advisory (UAE Federal &amp; Abu Dhabi Municipality requirements)</w:t>
            </w:r>
          </w:p>
        </w:tc>
        <w:tc>
          <w:tcPr/>
          <w:p>
            <w:pPr>
              <w:pStyle w:val="Compact"/>
              <w:jc w:val="left"/>
            </w:pPr>
            <w:r>
              <w:t xml:space="preserve">Ongoing</w:t>
            </w:r>
          </w:p>
        </w:tc>
        <w:tc>
          <w:tcPr/>
          <w:p>
            <w:pPr>
              <w:pStyle w:val="Compact"/>
              <w:jc w:val="left"/>
            </w:pPr>
            <w:r>
              <w:t xml:space="preserve">Monthly</w:t>
            </w:r>
          </w:p>
        </w:tc>
        <w:tc>
          <w:tcPr/>
          <w:p>
            <w:pPr>
              <w:pStyle w:val="Compact"/>
              <w:jc w:val="left"/>
            </w:pPr>
            <w:r>
              <w:t xml:space="preserve">8,500</w:t>
            </w:r>
          </w:p>
        </w:tc>
        <w:tc>
          <w:tcPr/>
          <w:p>
            <w:pPr>
              <w:pStyle w:val="Compact"/>
              <w:jc w:val="left"/>
            </w:pPr>
            <w:r>
              <w:t xml:space="preserve">102,000</w:t>
            </w:r>
          </w:p>
        </w:tc>
      </w:tr>
      <w:tr>
        <w:tc>
          <w:tcPr/>
          <w:p>
            <w:pPr>
              <w:pStyle w:val="Compact"/>
              <w:jc w:val="left"/>
            </w:pPr>
            <w:r>
              <w:t xml:space="preserve">04</w:t>
            </w:r>
          </w:p>
        </w:tc>
        <w:tc>
          <w:tcPr/>
          <w:p>
            <w:pPr>
              <w:pStyle w:val="Compact"/>
              <w:jc w:val="left"/>
            </w:pPr>
            <w:r>
              <w:t xml:space="preserve">Financial Modelling, Cash Flow Forecasting &amp; Investment Feasibility Study</w:t>
            </w:r>
          </w:p>
        </w:tc>
        <w:tc>
          <w:tcPr/>
          <w:p>
            <w:pPr>
              <w:pStyle w:val="Compact"/>
              <w:jc w:val="left"/>
            </w:pPr>
            <w:r>
              <w:t xml:space="preserve">5 weeks</w:t>
            </w:r>
          </w:p>
        </w:tc>
        <w:tc>
          <w:tcPr/>
          <w:p>
            <w:pPr>
              <w:pStyle w:val="Compact"/>
              <w:jc w:val="left"/>
            </w:pPr>
            <w:r>
              <w:t xml:space="preserve">Project</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05</w:t>
            </w:r>
          </w:p>
        </w:tc>
        <w:tc>
          <w:tcPr/>
          <w:p>
            <w:pPr>
              <w:pStyle w:val="Compact"/>
              <w:jc w:val="left"/>
            </w:pPr>
            <w:r>
              <w:t xml:space="preserve">Human Resource Strategy &amp; Organizational Development Consulting</w:t>
            </w:r>
          </w:p>
        </w:tc>
        <w:tc>
          <w:tcPr/>
          <w:p>
            <w:pPr>
              <w:pStyle w:val="Compact"/>
              <w:jc w:val="left"/>
            </w:pPr>
            <w:r>
              <w:t xml:space="preserve">3 weeks</w:t>
            </w:r>
          </w:p>
        </w:tc>
        <w:tc>
          <w:tcPr/>
          <w:p>
            <w:pPr>
              <w:pStyle w:val="Compact"/>
              <w:jc w:val="left"/>
            </w:pPr>
            <w:r>
              <w:t xml:space="preserve">Project</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06</w:t>
            </w:r>
          </w:p>
        </w:tc>
        <w:tc>
          <w:tcPr/>
          <w:p>
            <w:pPr>
              <w:pStyle w:val="Compact"/>
              <w:jc w:val="left"/>
            </w:pPr>
            <w:r>
              <w:t xml:space="preserve">Digital Transformation Roadmap &amp; Technology Integration Advisory</w:t>
            </w:r>
          </w:p>
        </w:tc>
        <w:tc>
          <w:tcPr/>
          <w:p>
            <w:pPr>
              <w:pStyle w:val="Compact"/>
              <w:jc w:val="left"/>
            </w:pPr>
            <w:r>
              <w:t xml:space="preserve">6 weeks</w:t>
            </w:r>
          </w:p>
        </w:tc>
        <w:tc>
          <w:tcPr/>
          <w:p>
            <w:pPr>
              <w:pStyle w:val="Compact"/>
              <w:jc w:val="left"/>
            </w:pPr>
            <w:r>
              <w:t xml:space="preserve">Project</w:t>
            </w:r>
          </w:p>
        </w:tc>
        <w:tc>
          <w:tcPr/>
          <w:p>
            <w:pPr>
              <w:pStyle w:val="Compact"/>
              <w:jc w:val="left"/>
            </w:pPr>
            <w:r>
              <w:t xml:space="preserve">40,000</w:t>
            </w:r>
          </w:p>
        </w:tc>
        <w:tc>
          <w:tcPr/>
          <w:p>
            <w:pPr>
              <w:pStyle w:val="Compact"/>
              <w:jc w:val="left"/>
            </w:pPr>
            <w:r>
              <w:t xml:space="preserve">40,000</w:t>
            </w:r>
          </w:p>
        </w:tc>
      </w:tr>
      <w:tr>
        <w:tc>
          <w:tcPr/>
          <w:p>
            <w:pPr>
              <w:pStyle w:val="Compact"/>
              <w:jc w:val="left"/>
            </w:pPr>
            <w:r>
              <w:t xml:space="preserve">07</w:t>
            </w:r>
          </w:p>
        </w:tc>
        <w:tc>
          <w:tcPr/>
          <w:p>
            <w:pPr>
              <w:pStyle w:val="Compact"/>
              <w:jc w:val="left"/>
            </w:pPr>
            <w:r>
              <w:t xml:space="preserve">Executive Board Advisory Sessions (Quarterly)</w:t>
            </w:r>
          </w:p>
        </w:tc>
        <w:tc>
          <w:tcPr/>
          <w:p>
            <w:pPr>
              <w:pStyle w:val="Compact"/>
              <w:jc w:val="left"/>
            </w:pPr>
            <w:r>
              <w:t xml:space="preserve">12 months</w:t>
            </w:r>
          </w:p>
        </w:tc>
        <w:tc>
          <w:tcPr/>
          <w:p>
            <w:pPr>
              <w:pStyle w:val="Compact"/>
              <w:jc w:val="left"/>
            </w:pPr>
            <w:r>
              <w:t xml:space="preserve">Quarter</w:t>
            </w:r>
          </w:p>
        </w:tc>
        <w:tc>
          <w:tcPr/>
          <w:p>
            <w:pPr>
              <w:pStyle w:val="Compact"/>
              <w:jc w:val="left"/>
            </w:pPr>
            <w:r>
              <w:t xml:space="preserve">12,000</w:t>
            </w:r>
          </w:p>
        </w:tc>
        <w:tc>
          <w:tcPr/>
          <w:p>
            <w:pPr>
              <w:pStyle w:val="Compact"/>
              <w:jc w:val="left"/>
            </w:pPr>
            <w:r>
              <w:t xml:space="preserve">48,000</w:t>
            </w:r>
          </w:p>
        </w:tc>
      </w:tr>
      <w:tr>
        <w:tc>
          <w:tcPr/>
          <w:p>
            <w:pPr>
              <w:pStyle w:val="Compact"/>
              <w:jc w:val="left"/>
            </w:pPr>
            <w:r>
              <w:t xml:space="preserve">08</w:t>
            </w:r>
          </w:p>
        </w:tc>
        <w:tc>
          <w:tcPr/>
          <w:p>
            <w:pPr>
              <w:pStyle w:val="Compact"/>
              <w:jc w:val="left"/>
            </w:pPr>
            <w:r>
              <w:t xml:space="preserve">On-site Consultation Visits to Abu Dhabi Business Premises</w:t>
            </w:r>
          </w:p>
        </w:tc>
        <w:tc>
          <w:tcPr/>
          <w:p>
            <w:pPr>
              <w:pStyle w:val="Compact"/>
              <w:jc w:val="left"/>
            </w:pPr>
            <w:r>
              <w:t xml:space="preserve">12 months</w:t>
            </w:r>
          </w:p>
        </w:tc>
        <w:tc>
          <w:tcPr/>
          <w:p>
            <w:pPr>
              <w:pStyle w:val="Compact"/>
              <w:jc w:val="left"/>
            </w:pPr>
            <w:r>
              <w:t xml:space="preserve">Visit</w:t>
            </w:r>
          </w:p>
        </w:tc>
        <w:tc>
          <w:tcPr/>
          <w:p>
            <w:pPr>
              <w:pStyle w:val="Compact"/>
              <w:jc w:val="left"/>
            </w:pPr>
            <w:r>
              <w:t xml:space="preserve">3,500</w:t>
            </w:r>
          </w:p>
        </w:tc>
        <w:tc>
          <w:tcPr/>
          <w:p>
            <w:pPr>
              <w:pStyle w:val="Compact"/>
              <w:jc w:val="left"/>
            </w:pPr>
            <w:r>
              <w:t xml:space="preserve">42,000</w:t>
            </w:r>
          </w:p>
        </w:tc>
      </w:tr>
      <w:tr>
        <w:tc>
          <w:tcPr>
            <w:gridSpan w:val="5"/>
          </w:tcPr>
          <w:p>
            <w:pPr>
              <w:pStyle w:val="Compact"/>
              <w:jc w:val="left"/>
            </w:pPr>
            <w:r>
              <w:t xml:space="preserve">Subtotal (AED)</w:t>
            </w:r>
          </w:p>
        </w:tc>
        <w:tc>
          <w:tcPr/>
          <w:p>
            <w:pPr>
              <w:pStyle w:val="Compact"/>
              <w:jc w:val="left"/>
            </w:pPr>
            <w:r>
              <w:t xml:space="preserve">369,000</w:t>
            </w:r>
          </w:p>
        </w:tc>
      </w:tr>
      <w:tr>
        <w:tc>
          <w:tcPr>
            <w:gridSpan w:val="5"/>
          </w:tcPr>
          <w:p>
            <w:pPr>
              <w:pStyle w:val="Compact"/>
              <w:jc w:val="left"/>
            </w:pPr>
            <w:r>
              <w:t xml:space="preserve">VAT @ 5% (AED)</w:t>
            </w:r>
          </w:p>
        </w:tc>
        <w:tc>
          <w:tcPr/>
          <w:p>
            <w:pPr>
              <w:pStyle w:val="Compact"/>
              <w:jc w:val="left"/>
            </w:pPr>
            <w:r>
              <w:t xml:space="preserve">18,450</w:t>
            </w:r>
          </w:p>
        </w:tc>
      </w:tr>
      <w:tr>
        <w:tc>
          <w:tcPr>
            <w:gridSpan w:val="5"/>
          </w:tcPr>
          <w:p>
            <w:pPr>
              <w:pStyle w:val="Compact"/>
              <w:jc w:val="left"/>
            </w:pPr>
            <w:r>
              <w:rPr>
                <w:bCs/>
                <w:b/>
              </w:rPr>
              <w:t xml:space="preserve">TOTAL AMOUNT DUE (AED)</w:t>
            </w:r>
          </w:p>
        </w:tc>
        <w:tc>
          <w:tcPr/>
          <w:p>
            <w:pPr>
              <w:pStyle w:val="Compact"/>
              <w:jc w:val="left"/>
            </w:pPr>
            <w:r>
              <w:rPr>
                <w:bCs/>
                <w:b/>
              </w:rPr>
              <w:t xml:space="preserve">387,450</w:t>
            </w:r>
          </w:p>
        </w:tc>
      </w:tr>
    </w:tbl>
    <w:bookmarkEnd w:id="22"/>
    <w:bookmarkStart w:id="23" w:name="payment-terms-and-schedule"/>
    <w:p>
      <w:pPr>
        <w:pStyle w:val="Heading2"/>
      </w:pPr>
      <w:r>
        <w:t xml:space="preserve">3. Payment Terms and Schedule</w:t>
      </w:r>
    </w:p>
    <w:p>
      <w:pPr>
        <w:pStyle w:val="FirstParagraph"/>
      </w:pPr>
      <w:r>
        <w:t xml:space="preserve">The total value of this</w:t>
      </w:r>
      <w:r>
        <w:t xml:space="preserve"> </w:t>
      </w:r>
      <w:r>
        <w:t xml:space="preserve">Quotation Estimate</w:t>
      </w:r>
      <w:r>
        <w:t xml:space="preserve"> </w:t>
      </w:r>
      <w:r>
        <w:t xml:space="preserve">shall be settled in accordance with the following milestone-based payment schedule. All payments are to be made in United Arab Emirates Dirhams (AED) via bank transfer to the account of Strategic Business Consulting LLC, held with Emirates NBD Bank, Abu Dhabi branch.</w:t>
      </w:r>
    </w:p>
    <w:p>
      <w:pPr>
        <w:numPr>
          <w:ilvl w:val="0"/>
          <w:numId w:val="1001"/>
        </w:numPr>
        <w:pStyle w:val="Compact"/>
      </w:pPr>
      <w:r>
        <w:rPr>
          <w:bCs/>
          <w:b/>
        </w:rPr>
        <w:t xml:space="preserve">Advance Payment (30%):</w:t>
      </w:r>
      <w:r>
        <w:t xml:space="preserve"> </w:t>
      </w:r>
      <w:r>
        <w:t xml:space="preserve">AED 116,235 – Due upon signed acceptance of this Quotation Estimate.</w:t>
      </w:r>
    </w:p>
    <w:p>
      <w:pPr>
        <w:numPr>
          <w:ilvl w:val="0"/>
          <w:numId w:val="1001"/>
        </w:numPr>
        <w:pStyle w:val="Compact"/>
      </w:pPr>
      <w:r>
        <w:rPr>
          <w:bCs/>
          <w:b/>
        </w:rPr>
        <w:t xml:space="preserve">Milestone Payment 1 (25%):</w:t>
      </w:r>
      <w:r>
        <w:t xml:space="preserve"> </w:t>
      </w:r>
      <w:r>
        <w:t xml:space="preserve">AED 96,862 – Due upon completion of Strategic Business Planning and Operational Audit deliverables.</w:t>
      </w:r>
    </w:p>
    <w:p>
      <w:pPr>
        <w:numPr>
          <w:ilvl w:val="0"/>
          <w:numId w:val="1001"/>
        </w:numPr>
        <w:pStyle w:val="Compact"/>
      </w:pPr>
      <w:r>
        <w:rPr>
          <w:bCs/>
          <w:b/>
        </w:rPr>
        <w:t xml:space="preserve">Milestone Payment 2 (25%):</w:t>
      </w:r>
      <w:r>
        <w:t xml:space="preserve"> </w:t>
      </w:r>
      <w:r>
        <w:t xml:space="preserve">AED 96,862 – Due upon delivery of Financial Modelling and HR Strategy reports.</w:t>
      </w:r>
    </w:p>
    <w:p>
      <w:pPr>
        <w:numPr>
          <w:ilvl w:val="0"/>
          <w:numId w:val="1001"/>
        </w:numPr>
        <w:pStyle w:val="Compact"/>
      </w:pPr>
      <w:r>
        <w:rPr>
          <w:bCs/>
          <w:b/>
        </w:rPr>
        <w:t xml:space="preserve">Final Payment (20%):</w:t>
      </w:r>
      <w:r>
        <w:t xml:space="preserve"> </w:t>
      </w:r>
      <w:r>
        <w:t xml:space="preserve">AED 77,491 – Due upon completion of the Digital Transformation Roadmap and final project handover.</w:t>
      </w:r>
    </w:p>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Beyond this period, rates and availability of the</w:t>
      </w:r>
      <w:r>
        <w:t xml:space="preserve"> </w:t>
      </w:r>
      <w:r>
        <w:t xml:space="preserve">Business Consultant</w:t>
      </w:r>
      <w:r>
        <w:t xml:space="preserve"> </w:t>
      </w:r>
      <w:r>
        <w:t xml:space="preserve">team may be subject to revision.</w:t>
      </w:r>
    </w:p>
    <w:p>
      <w:pPr>
        <w:numPr>
          <w:ilvl w:val="0"/>
          <w:numId w:val="1002"/>
        </w:numPr>
        <w:pStyle w:val="Compact"/>
      </w:pPr>
      <w:r>
        <w:t xml:space="preserve">All services will be delivered in compliance with the laws and regulations of the</w:t>
      </w:r>
      <w:r>
        <w:t xml:space="preserve"> </w:t>
      </w:r>
      <w:r>
        <w:t xml:space="preserve">United Arab Emirates Abu Dhabi</w:t>
      </w:r>
      <w:r>
        <w:t xml:space="preserve">, including but not limited to the UAE Commercial Transactions Law, Federal Decree-Law No. 32 of 2021 on Commercial Companies, and Abu Dhabi Municipality trade regulations.</w:t>
      </w:r>
    </w:p>
    <w:p>
      <w:pPr>
        <w:numPr>
          <w:ilvl w:val="0"/>
          <w:numId w:val="1002"/>
        </w:numPr>
        <w:pStyle w:val="Compact"/>
      </w:pPr>
      <w:r>
        <w:t xml:space="preserve">The</w:t>
      </w:r>
      <w:r>
        <w:t xml:space="preserve"> </w:t>
      </w:r>
      <w:r>
        <w:t xml:space="preserve">Business Consultant</w:t>
      </w:r>
      <w:r>
        <w:t xml:space="preserve"> </w:t>
      </w:r>
      <w:r>
        <w:t xml:space="preserve">shall maintain strict confidentiality of all client data, trade secrets, and proprietary information in accordance with UAE Federal Decree-Law No. 45 of 2021 on the Protection of Personal Data.</w:t>
      </w:r>
    </w:p>
    <w:p>
      <w:pPr>
        <w:numPr>
          <w:ilvl w:val="0"/>
          <w:numId w:val="1002"/>
        </w:numPr>
        <w:pStyle w:val="Compact"/>
      </w:pPr>
      <w:r>
        <w:t xml:space="preserve">Any changes to the scope of work beyond the parameters defined in this Quotation Estimate will require a written change order signed by both parties before additional work commences.</w:t>
      </w:r>
    </w:p>
    <w:p>
      <w:pPr>
        <w:numPr>
          <w:ilvl w:val="0"/>
          <w:numId w:val="1002"/>
        </w:numPr>
        <w:pStyle w:val="Compact"/>
      </w:pPr>
      <w:r>
        <w:t xml:space="preserve">Deliverables will be provided in both Arabic and English to ensure full compliance with local regulatory filing requirements in the</w:t>
      </w:r>
      <w:r>
        <w:t xml:space="preserve"> </w:t>
      </w:r>
      <w:r>
        <w:t xml:space="preserve">United Arab Emirates Abu Dhabi</w:t>
      </w:r>
      <w:r>
        <w:t xml:space="preserve">.</w:t>
      </w:r>
    </w:p>
    <w:p>
      <w:pPr>
        <w:numPr>
          <w:ilvl w:val="0"/>
          <w:numId w:val="1002"/>
        </w:numPr>
        <w:pStyle w:val="Compact"/>
      </w:pPr>
      <w:r>
        <w:t xml:space="preserve">Force majeure events, including but not limited to government-mandated closures, natural disasters, or changes in UAE federal or Abu Dhabi emirate-level legislation, shall extend project timelines proportionally without penalty to either party.</w:t>
      </w:r>
    </w:p>
    <w:p>
      <w:pPr>
        <w:numPr>
          <w:ilvl w:val="0"/>
          <w:numId w:val="1002"/>
        </w:numPr>
        <w:pStyle w:val="Compact"/>
      </w:pPr>
      <w:r>
        <w:t xml:space="preserve">Disputes arising from this engagement shall be resolved through the Abu Dhabi Centre for Amicable Settlement of Disputes (ADCS) before escalation to the Abu Dhabi Courts of First Instance.</w:t>
      </w:r>
    </w:p>
    <w:p>
      <w:pPr>
        <w:pStyle w:val="FirstParagraph"/>
      </w:pPr>
      <w:r>
        <w:rPr>
          <w:bCs/>
          <w:b/>
        </w:rPr>
        <w:t xml:space="preserve">Note:</w:t>
      </w:r>
      <w:r>
        <w:t xml:space="preserve"> </w:t>
      </w:r>
      <w:r>
        <w:t xml:space="preserve">This Quotation Estimate does not constitute a binding contract until countersigned by both parties. The Business Consultant engagement will commence only upon receipt of the advance payment and execution of the Master Service Agreement (MSA) in the format prescribed by the Abu Dhabi Department of Economic Development.</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Strategic Business Consulting LLC to proceed with the</w:t>
      </w:r>
      <w:r>
        <w:t xml:space="preserve"> </w:t>
      </w:r>
      <w:r>
        <w:t xml:space="preserve">Business Consultant</w:t>
      </w:r>
      <w:r>
        <w:t xml:space="preserve"> </w:t>
      </w:r>
      <w:r>
        <w:t xml:space="preserve">services as described herein, under the terms and conditions set forth in this document, within the jurisdiction of the</w:t>
      </w:r>
      <w:r>
        <w:t xml:space="preserve"> </w:t>
      </w:r>
      <w:r>
        <w:t xml:space="preserve">United Arab Emirates Abu Dhabi</w:t>
      </w:r>
      <w:r>
        <w:t xml:space="preserve">.</w:t>
      </w:r>
    </w:p>
    <w:p>
      <w:pPr>
        <w:pStyle w:val="BodyText"/>
      </w:pPr>
      <w:r>
        <w:rPr>
          <w:bCs/>
          <w:b/>
        </w:rPr>
        <w:t xml:space="preserve">For: Strategic Business Consulting LLC</w:t>
      </w:r>
    </w:p>
    <w:p>
      <w:pPr>
        <w:pStyle w:val="BodyText"/>
      </w:pPr>
      <w:r>
        <w:t xml:space="preserve">Business Consultant – Lead Partner</w:t>
      </w:r>
    </w:p>
    <w:p>
      <w:pPr>
        <w:pStyle w:val="BodyText"/>
      </w:pPr>
      <w:r>
        <w:t xml:space="preserve">Name: Khalid Al Mansoori</w:t>
      </w:r>
      <w:r>
        <w:br/>
      </w:r>
      <w:r>
        <w:t xml:space="preserve">Signature &amp; Date: _________________________</w:t>
      </w:r>
    </w:p>
    <w:p>
      <w:pPr>
        <w:pStyle w:val="BodyText"/>
      </w:pPr>
      <w:r>
        <w:rPr>
          <w:bCs/>
          <w:b/>
        </w:rPr>
        <w:t xml:space="preserve">For: Al Noor Trading Est.</w:t>
      </w:r>
    </w:p>
    <w:p>
      <w:pPr>
        <w:pStyle w:val="BodyText"/>
      </w:pPr>
      <w:r>
        <w:t xml:space="preserve">Authorized Signatory</w:t>
      </w:r>
    </w:p>
    <w:p>
      <w:pPr>
        <w:pStyle w:val="BodyText"/>
      </w:pPr>
      <w:r>
        <w:t xml:space="preserve">Name: _________________________</w:t>
      </w:r>
      <w:r>
        <w:br/>
      </w:r>
      <w:r>
        <w:t xml:space="preserve">Signature &amp; Date: _________________________</w:t>
      </w:r>
    </w:p>
    <w:p>
      <w:pPr>
        <w:pStyle w:val="BodyText"/>
      </w:pPr>
      <w:r>
        <w:t xml:space="preserve">Strategic Business Consulting LLC | Al Reem Island, Abu Dhabi, United Arab Emirates</w:t>
      </w:r>
    </w:p>
    <w:p>
      <w:pPr>
        <w:pStyle w:val="BodyText"/>
      </w:pPr>
      <w:r>
        <w:t xml:space="preserve">This Quotation Estimate is the property of Strategic Business Consulting LLC. Unauthorized reproduction or distribution is prohibited under UAE intellectual property law.</w:t>
      </w:r>
    </w:p>
    <w:p>
      <w:pPr>
        <w:pStyle w:val="BodyText"/>
      </w:pPr>
      <w:r>
        <w:t xml:space="preserve">Document Reference: QTE-2025-0487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Business Consultant - United Arab Emirates Abu Dhabi</dc:title>
  <dc:creator/>
  <dc:language>en</dc:language>
  <cp:keywords/>
  <dcterms:created xsi:type="dcterms:W3CDTF">2026-10-10T06:31:29Z</dcterms:created>
  <dcterms:modified xsi:type="dcterms:W3CDTF">2026-10-10T06:31:29Z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