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United Arab Emirates Dubai</w:t>
      </w:r>
    </w:p>
    <w:p>
      <w:pPr>
        <w:pStyle w:val="BodyText"/>
      </w:pPr>
      <w:r>
        <w:t xml:space="preserve">Strategic Advisory &amp; Corporate Consulting Firm</w:t>
      </w:r>
    </w:p>
    <w:bookmarkEnd w:id="20"/>
    <w:p>
      <w:pPr>
        <w:pStyle w:val="BodyText"/>
      </w:pPr>
      <w:r>
        <w:rPr>
          <w:bCs/>
          <w:b/>
        </w:rPr>
        <w:t xml:space="preserve">Quotation No.:</w:t>
      </w:r>
      <w:r>
        <w:t xml:space="preserve"> </w:t>
      </w:r>
      <w:r>
        <w:t xml:space="preserve">QTE-DBX-2025-04782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p>
    <w:p>
      <w:pPr>
        <w:pStyle w:val="BodyText"/>
      </w:pPr>
      <w:r>
        <w:rPr>
          <w:bCs/>
          <w:b/>
        </w:rPr>
        <w:t xml:space="preserve">Prepared By:</w:t>
      </w:r>
      <w:r>
        <w:t xml:space="preserve"> </w:t>
      </w:r>
      <w:r>
        <w:t xml:space="preserve">[Consultant Name], Senior Business Consultant</w:t>
      </w:r>
    </w:p>
    <w:p>
      <w:pPr>
        <w:pStyle w:val="BodyText"/>
      </w:pPr>
      <w:r>
        <w:t xml:space="preserve">Dear Valued Client,</w:t>
      </w:r>
    </w:p>
    <w:p>
      <w:pPr>
        <w:pStyle w:val="BodyText"/>
      </w:pPr>
      <w:r>
        <w:t xml:space="preserve">Thank you for considering our firm for your strategic advisory needs. This</w:t>
      </w:r>
      <w:r>
        <w:t xml:space="preserve"> </w:t>
      </w:r>
      <w:r>
        <w:t xml:space="preserve">Quotation Estimate</w:t>
      </w:r>
      <w:r>
        <w:t xml:space="preserve"> </w:t>
      </w:r>
      <w:r>
        <w:t xml:space="preserve">has been carefully prepared to outline the scope, deliverables, and associated costs for the engagement of our</w:t>
      </w:r>
      <w:r>
        <w:t xml:space="preserve"> </w:t>
      </w:r>
      <w:r>
        <w:t xml:space="preserve">Business Consultant</w:t>
      </w:r>
      <w:r>
        <w:t xml:space="preserve"> </w:t>
      </w:r>
      <w:r>
        <w:t xml:space="preserve">services tailored specifically to the operational and regulatory environment of</w:t>
      </w:r>
      <w:r>
        <w:t xml:space="preserve"> </w:t>
      </w:r>
      <w:r>
        <w:t xml:space="preserve">United Arab Emirates Dubai</w:t>
      </w:r>
      <w:r>
        <w:t xml:space="preserve">. We are committed to delivering exceptional value and ensuring that every aspect of this proposal aligns with your organizational objectives and the unique business landscape of the UAE.</w:t>
      </w:r>
    </w:p>
    <w:p>
      <w:pPr>
        <w:pStyle w:val="BodyText"/>
      </w:pPr>
      <w:r>
        <w:t xml:space="preserve">1. Scope of Business Consultant Services</w:t>
      </w:r>
    </w:p>
    <w:p>
      <w:pPr>
        <w:pStyle w:val="BodyText"/>
      </w:pPr>
      <w:r>
        <w:t xml:space="preserve">As your dedicated</w:t>
      </w:r>
      <w:r>
        <w:t xml:space="preserve"> </w:t>
      </w:r>
      <w:r>
        <w:t xml:space="preserve">Business Consultant</w:t>
      </w:r>
      <w:r>
        <w:t xml:space="preserve"> </w:t>
      </w:r>
      <w:r>
        <w:t xml:space="preserve">operating within</w:t>
      </w:r>
      <w:r>
        <w:t xml:space="preserve"> </w:t>
      </w:r>
      <w:r>
        <w:t xml:space="preserve">United Arab Emirates Dubai</w:t>
      </w:r>
      <w:r>
        <w:t xml:space="preserve">, our engagement will encompass the following comprehensive areas of advisory and implementation support:</w:t>
      </w:r>
    </w:p>
    <w:p>
      <w:pPr>
        <w:numPr>
          <w:ilvl w:val="0"/>
          <w:numId w:val="1001"/>
        </w:numPr>
        <w:pStyle w:val="Compact"/>
      </w:pPr>
      <w:r>
        <w:rPr>
          <w:bCs/>
          <w:b/>
        </w:rPr>
        <w:t xml:space="preserve">Strategic Business Planning:</w:t>
      </w:r>
      <w:r>
        <w:t xml:space="preserve"> </w:t>
      </w:r>
      <w:r>
        <w:t xml:space="preserve">Development of a five-year strategic roadmap aligned with Dubai's Economic Agenda (D33) and the UAE's national vision, including market entry strategies, competitive positioning, and growth projections specific to the Dubai market.</w:t>
      </w:r>
    </w:p>
    <w:p>
      <w:pPr>
        <w:numPr>
          <w:ilvl w:val="0"/>
          <w:numId w:val="1001"/>
        </w:numPr>
        <w:pStyle w:val="Compact"/>
      </w:pPr>
      <w:r>
        <w:rPr>
          <w:bCs/>
          <w:b/>
        </w:rPr>
        <w:t xml:space="preserve">Regulatory Compliance &amp; Licensing:</w:t>
      </w:r>
      <w:r>
        <w:t xml:space="preserve"> </w:t>
      </w:r>
      <w:r>
        <w:t xml:space="preserve">Full guidance on obtaining and maintaining trade licenses, free zone registrations (JAFZA, DMCC, DIFC, Dubai Internet City), and compliance with UAE federal and Dubai municipal regulations, including VAT registration with the Federal Tax Authority.</w:t>
      </w:r>
    </w:p>
    <w:p>
      <w:pPr>
        <w:numPr>
          <w:ilvl w:val="0"/>
          <w:numId w:val="1001"/>
        </w:numPr>
        <w:pStyle w:val="Compact"/>
      </w:pPr>
      <w:r>
        <w:rPr>
          <w:bCs/>
          <w:b/>
        </w:rPr>
        <w:t xml:space="preserve">Operational Efficiency Assessment:</w:t>
      </w:r>
      <w:r>
        <w:t xml:space="preserve"> </w:t>
      </w:r>
      <w:r>
        <w:t xml:space="preserve">A thorough audit of existing business processes, supply chain operations, and organizational structure to identify areas of improvement and cost optimization within the Dubai business ecosystem.</w:t>
      </w:r>
    </w:p>
    <w:p>
      <w:pPr>
        <w:numPr>
          <w:ilvl w:val="0"/>
          <w:numId w:val="1001"/>
        </w:numPr>
        <w:pStyle w:val="Compact"/>
      </w:pPr>
      <w:r>
        <w:rPr>
          <w:bCs/>
          <w:b/>
        </w:rPr>
        <w:t xml:space="preserve">Financial Advisory &amp; Forecasting:</w:t>
      </w:r>
      <w:r>
        <w:t xml:space="preserve"> </w:t>
      </w:r>
      <w:r>
        <w:t xml:space="preserve">Preparation of detailed financial models, cash flow projections, and investment return analyses compliant with UAE accounting standards (IFRS) and local tax obligations.</w:t>
      </w:r>
    </w:p>
    <w:p>
      <w:pPr>
        <w:numPr>
          <w:ilvl w:val="0"/>
          <w:numId w:val="1001"/>
        </w:numPr>
        <w:pStyle w:val="Compact"/>
      </w:pPr>
      <w:r>
        <w:rPr>
          <w:bCs/>
          <w:b/>
        </w:rPr>
        <w:t xml:space="preserve">Human Capital &amp; Organizational Development:</w:t>
      </w:r>
      <w:r>
        <w:t xml:space="preserve"> </w:t>
      </w:r>
      <w:r>
        <w:t xml:space="preserve">Advisory on workforce planning, labor law compliance under UAE Federal Decree-Law No. 33 of 2021, visa sponsorship processes, and corporate culture development suited to the multicultural Dubai environment.</w:t>
      </w:r>
    </w:p>
    <w:p>
      <w:pPr>
        <w:numPr>
          <w:ilvl w:val="0"/>
          <w:numId w:val="1001"/>
        </w:numPr>
        <w:pStyle w:val="Compact"/>
      </w:pPr>
      <w:r>
        <w:rPr>
          <w:bCs/>
          <w:b/>
        </w:rPr>
        <w:t xml:space="preserve">Market Research &amp; Competitive Analysis:</w:t>
      </w:r>
      <w:r>
        <w:t xml:space="preserve"> </w:t>
      </w:r>
      <w:r>
        <w:t xml:space="preserve">In-depth analysis of the Dubai and broader UAE market, including sector-specific trends, consumer behavior, and competitor benchmarking to inform strategic decision-making.</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Initial Discovery &amp; Diagnostic Assessment (Business Consultant on-site in Dubai)</w:t>
            </w:r>
          </w:p>
        </w:tc>
        <w:tc>
          <w:tcPr/>
          <w:p>
            <w:pPr>
              <w:pStyle w:val="Compact"/>
              <w:jc w:val="left"/>
            </w:pPr>
            <w:r>
              <w:t xml:space="preserve">2 Weeks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Strategic Business Plan Development &amp; Presentation</w:t>
            </w:r>
          </w:p>
        </w:tc>
        <w:tc>
          <w:tcPr/>
          <w:p>
            <w:pPr>
              <w:pStyle w:val="Compact"/>
              <w:jc w:val="left"/>
            </w:pPr>
            <w:r>
              <w:t xml:space="preserve">3 Weeks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Regulatory Compliance &amp; Licensing Advisory (UAE/Dubai)</w:t>
            </w:r>
          </w:p>
        </w:tc>
        <w:tc>
          <w:tcPr/>
          <w:p>
            <w:pPr>
              <w:pStyle w:val="Compact"/>
              <w:jc w:val="left"/>
            </w:pPr>
            <w:r>
              <w:t xml:space="preserve">2 Weeks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04</w:t>
            </w:r>
          </w:p>
        </w:tc>
        <w:tc>
          <w:tcPr/>
          <w:p>
            <w:pPr>
              <w:pStyle w:val="Compact"/>
              <w:jc w:val="left"/>
            </w:pPr>
            <w:r>
              <w:t xml:space="preserve">Operational Process Audit &amp; Optimization Roadmap</w:t>
            </w:r>
          </w:p>
        </w:tc>
        <w:tc>
          <w:tcPr/>
          <w:p>
            <w:pPr>
              <w:pStyle w:val="Compact"/>
              <w:jc w:val="left"/>
            </w:pPr>
            <w:r>
              <w:t xml:space="preserve">3 Weeks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Financial Modeling &amp; Investment Analysis (IFRS Compliant)</w:t>
            </w:r>
          </w:p>
        </w:tc>
        <w:tc>
          <w:tcPr/>
          <w:p>
            <w:pPr>
              <w:pStyle w:val="Compact"/>
              <w:jc w:val="left"/>
            </w:pPr>
            <w:r>
              <w:t xml:space="preserve">2 Weeks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Human Capital Strategy &amp; UAE Labor Law Compliance</w:t>
            </w:r>
          </w:p>
        </w:tc>
        <w:tc>
          <w:tcPr/>
          <w:p>
            <w:pPr>
              <w:pStyle w:val="Compact"/>
              <w:jc w:val="left"/>
            </w:pPr>
            <w:r>
              <w:t xml:space="preserve">2 Weeks</w:t>
            </w:r>
          </w:p>
        </w:tc>
        <w:tc>
          <w:tcPr/>
          <w:p>
            <w:pPr>
              <w:pStyle w:val="Compact"/>
              <w:jc w:val="left"/>
            </w:pPr>
            <w:r>
              <w:t xml:space="preserve">16,000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Market Research &amp; Competitive Intelligence Report (Dubai/UAE)</w:t>
            </w:r>
          </w:p>
        </w:tc>
        <w:tc>
          <w:tcPr/>
          <w:p>
            <w:pPr>
              <w:pStyle w:val="Compact"/>
              <w:jc w:val="left"/>
            </w:pPr>
            <w:r>
              <w:t xml:space="preserve">2 Weeks</w:t>
            </w:r>
          </w:p>
        </w:tc>
        <w:tc>
          <w:tcPr/>
          <w:p>
            <w:pPr>
              <w:pStyle w:val="Compact"/>
              <w:jc w:val="left"/>
            </w:pPr>
            <w:r>
              <w:t xml:space="preserve">14,000</w:t>
            </w:r>
          </w:p>
        </w:tc>
        <w:tc>
          <w:tcPr/>
          <w:p>
            <w:pPr>
              <w:pStyle w:val="Compact"/>
              <w:jc w:val="left"/>
            </w:pPr>
            <w:r>
              <w:t xml:space="preserve">28,000</w:t>
            </w:r>
          </w:p>
        </w:tc>
      </w:tr>
      <w:tr>
        <w:tc>
          <w:tcPr/>
          <w:p>
            <w:pPr>
              <w:pStyle w:val="Compact"/>
              <w:jc w:val="left"/>
            </w:pPr>
            <w:r>
              <w:t xml:space="preserve">08</w:t>
            </w:r>
          </w:p>
        </w:tc>
        <w:tc>
          <w:tcPr/>
          <w:p>
            <w:pPr>
              <w:pStyle w:val="Compact"/>
              <w:jc w:val="left"/>
            </w:pPr>
            <w:r>
              <w:t xml:space="preserve">Ongoing Advisory &amp; Implementation Support (Monthly Retainer)</w:t>
            </w:r>
          </w:p>
        </w:tc>
        <w:tc>
          <w:tcPr/>
          <w:p>
            <w:pPr>
              <w:pStyle w:val="Compact"/>
              <w:jc w:val="left"/>
            </w:pPr>
            <w:r>
              <w:t xml:space="preserve">6 Months</w:t>
            </w:r>
          </w:p>
        </w:tc>
        <w:tc>
          <w:tcPr/>
          <w:p>
            <w:pPr>
              <w:pStyle w:val="Compact"/>
              <w:jc w:val="left"/>
            </w:pPr>
            <w:r>
              <w:t xml:space="preserve">12,000/mo</w:t>
            </w:r>
          </w:p>
        </w:tc>
        <w:tc>
          <w:tcPr/>
          <w:p>
            <w:pPr>
              <w:pStyle w:val="Compact"/>
              <w:jc w:val="left"/>
            </w:pPr>
            <w:r>
              <w:t xml:space="preserve">72,000</w:t>
            </w:r>
          </w:p>
        </w:tc>
      </w:tr>
      <w:tr>
        <w:tc>
          <w:tcPr>
            <w:gridSpan w:val="4"/>
          </w:tcPr>
          <w:p>
            <w:pPr>
              <w:pStyle w:val="Compact"/>
              <w:jc w:val="left"/>
            </w:pPr>
            <w:r>
              <w:t xml:space="preserve">Subtotal (AED)</w:t>
            </w:r>
          </w:p>
        </w:tc>
        <w:tc>
          <w:tcPr/>
          <w:p>
            <w:pPr>
              <w:pStyle w:val="Compact"/>
              <w:jc w:val="left"/>
            </w:pPr>
            <w:r>
              <w:t xml:space="preserve">360,000</w:t>
            </w:r>
          </w:p>
        </w:tc>
      </w:tr>
      <w:tr>
        <w:tc>
          <w:tcPr>
            <w:gridSpan w:val="4"/>
          </w:tcPr>
          <w:p>
            <w:pPr>
              <w:pStyle w:val="Compact"/>
              <w:jc w:val="left"/>
            </w:pPr>
            <w:r>
              <w:t xml:space="preserve">VAT (5% - UAE Federal Tax Authority)</w:t>
            </w:r>
          </w:p>
        </w:tc>
        <w:tc>
          <w:tcPr/>
          <w:p>
            <w:pPr>
              <w:pStyle w:val="Compact"/>
              <w:jc w:val="left"/>
            </w:pPr>
            <w:r>
              <w:t xml:space="preserve">18,000</w:t>
            </w:r>
          </w:p>
        </w:tc>
      </w:tr>
      <w:tr>
        <w:tc>
          <w:tcPr>
            <w:gridSpan w:val="4"/>
          </w:tcPr>
          <w:p>
            <w:pPr>
              <w:pStyle w:val="Compact"/>
              <w:jc w:val="left"/>
            </w:pPr>
            <w:r>
              <w:rPr>
                <w:bCs/>
                <w:b/>
              </w:rPr>
              <w:t xml:space="preserve">Grand Total (AED)</w:t>
            </w:r>
          </w:p>
        </w:tc>
        <w:tc>
          <w:tcPr/>
          <w:p>
            <w:pPr>
              <w:pStyle w:val="Compact"/>
              <w:jc w:val="left"/>
            </w:pPr>
            <w:r>
              <w:rPr>
                <w:bCs/>
                <w:b/>
              </w:rPr>
              <w:t xml:space="preserve">378,000</w:t>
            </w:r>
          </w:p>
        </w:tc>
      </w:tr>
    </w:tbl>
    <w:p>
      <w:pPr>
        <w:pStyle w:val="BodyText"/>
      </w:pPr>
      <w:r>
        <w:t xml:space="preserve">3.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40% payable upon completion of the Strategic Business Plan and Operational Audit deliverables.</w:t>
      </w:r>
    </w:p>
    <w:p>
      <w:pPr>
        <w:numPr>
          <w:ilvl w:val="0"/>
          <w:numId w:val="1002"/>
        </w:numPr>
        <w:pStyle w:val="Compact"/>
      </w:pPr>
      <w:r>
        <w:t xml:space="preserve">30% final payment upon successful handover of all reports, documentation, and completion of the six-month advisory retainer period.</w:t>
      </w:r>
    </w:p>
    <w:p>
      <w:pPr>
        <w:numPr>
          <w:ilvl w:val="0"/>
          <w:numId w:val="1002"/>
        </w:numPr>
        <w:pStyle w:val="Compact"/>
      </w:pPr>
      <w:r>
        <w:t xml:space="preserve">All payments shall be made in UAE Dirhams (AED) via bank transfer to our designated corporate account in Dubai, United Arab Emirates.</w:t>
      </w:r>
    </w:p>
    <w:p>
      <w:pPr>
        <w:numPr>
          <w:ilvl w:val="0"/>
          <w:numId w:val="1002"/>
        </w:numPr>
        <w:pStyle w:val="Compact"/>
      </w:pPr>
      <w:r>
        <w:t xml:space="preserve">Invoices are payable within 14 calendar days from the date of issue. Late payments shall attract a penalty of 2% per month as per UAE commercial law.</w:t>
      </w:r>
    </w:p>
    <w:p>
      <w:pPr>
        <w:pStyle w:val="FirstParagraph"/>
      </w:pPr>
      <w:r>
        <w:t xml:space="preserve">4.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Business Consultant</w:t>
      </w:r>
      <w:r>
        <w:t xml:space="preserve"> </w:t>
      </w:r>
      <w:r>
        <w:t xml:space="preserve">may be subject to revision.</w:t>
      </w:r>
    </w:p>
    <w:p>
      <w:pPr>
        <w:numPr>
          <w:ilvl w:val="0"/>
          <w:numId w:val="1003"/>
        </w:numPr>
        <w:pStyle w:val="Compact"/>
      </w:pPr>
      <w:r>
        <w:t xml:space="preserve">All services will be delivered in compliance with the laws and regulations of the</w:t>
      </w:r>
      <w:r>
        <w:t xml:space="preserve"> </w:t>
      </w:r>
      <w:r>
        <w:t xml:space="preserve">United Arab Emirates</w:t>
      </w:r>
      <w:r>
        <w:t xml:space="preserve"> </w:t>
      </w:r>
      <w:r>
        <w:t xml:space="preserve">and the emirate of Dubai, including but not limited to the UAE Commercial Transactions Law and Dubai Economic Department (DED) guidelines.</w:t>
      </w:r>
    </w:p>
    <w:p>
      <w:pPr>
        <w:numPr>
          <w:ilvl w:val="0"/>
          <w:numId w:val="1003"/>
        </w:numPr>
        <w:pStyle w:val="Compact"/>
      </w:pPr>
      <w:r>
        <w:t xml:space="preserve">The</w:t>
      </w:r>
      <w:r>
        <w:t xml:space="preserve"> </w:t>
      </w:r>
      <w:r>
        <w:t xml:space="preserve">Business Consultant</w:t>
      </w:r>
      <w:r>
        <w:t xml:space="preserve"> </w:t>
      </w:r>
      <w:r>
        <w:t xml:space="preserve">shall maintain strict confidentiality of all client information, trade secrets, and proprietary data in accordance with UAE Federal Decree-Law No. 46 of 2021 on the Protection of Personal Data.</w:t>
      </w:r>
    </w:p>
    <w:p>
      <w:pPr>
        <w:numPr>
          <w:ilvl w:val="0"/>
          <w:numId w:val="1003"/>
        </w:numPr>
        <w:pStyle w:val="Compact"/>
      </w:pPr>
      <w:r>
        <w:t xml:space="preserve">Intellectual property rights for all deliverables, reports, and strategic documents produced under this engagement shall vest with the client upon full and final payment.</w:t>
      </w:r>
    </w:p>
    <w:p>
      <w:pPr>
        <w:numPr>
          <w:ilvl w:val="0"/>
          <w:numId w:val="1003"/>
        </w:numPr>
        <w:pStyle w:val="Compact"/>
      </w:pPr>
      <w:r>
        <w:t xml:space="preserve">Any changes to the scope of work must be mutually agreed upon in writing and may result in an amended</w:t>
      </w:r>
      <w:r>
        <w:t xml:space="preserve"> </w:t>
      </w:r>
      <w:r>
        <w:t xml:space="preserve">Quotation Estimate</w:t>
      </w:r>
      <w:r>
        <w:t xml:space="preserve"> </w:t>
      </w:r>
      <w:r>
        <w:t xml:space="preserve">reflecting additional costs or timeline adjustments.</w:t>
      </w:r>
    </w:p>
    <w:p>
      <w:pPr>
        <w:numPr>
          <w:ilvl w:val="0"/>
          <w:numId w:val="1003"/>
        </w:numPr>
        <w:pStyle w:val="Compact"/>
      </w:pPr>
      <w:r>
        <w:t xml:space="preserve">This engagement is governed by the laws of the</w:t>
      </w:r>
      <w:r>
        <w:t xml:space="preserve"> </w:t>
      </w:r>
      <w:r>
        <w:t xml:space="preserve">United Arab Emirates</w:t>
      </w:r>
      <w:r>
        <w:t xml:space="preserve">, and any disputes shall be resolved through the Dubai International Financial Centre (DIFC) Courts or by arbitration under the DIFC-LCIA Arbitration Rules.</w:t>
      </w:r>
    </w:p>
    <w:p>
      <w:pPr>
        <w:numPr>
          <w:ilvl w:val="0"/>
          <w:numId w:val="1003"/>
        </w:numPr>
        <w:pStyle w:val="Compact"/>
      </w:pPr>
      <w:r>
        <w:t xml:space="preserve">The</w:t>
      </w:r>
      <w:r>
        <w:t xml:space="preserve"> </w:t>
      </w:r>
      <w:r>
        <w:t xml:space="preserve">Business Consultant</w:t>
      </w:r>
      <w:r>
        <w:t xml:space="preserve"> </w:t>
      </w:r>
      <w:r>
        <w:t xml:space="preserve">reserves the right to decline or terminate the engagement with 30 days' written notice in cases of material breach by the client.</w:t>
      </w:r>
    </w:p>
    <w:p>
      <w:pPr>
        <w:pStyle w:val="FirstParagraph"/>
      </w:pPr>
      <w:r>
        <w:t xml:space="preserve">5. Acceptance &amp;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the</w:t>
      </w:r>
      <w:r>
        <w:t xml:space="preserve"> </w:t>
      </w:r>
      <w:r>
        <w:t xml:space="preserve">Business Consultant</w:t>
      </w:r>
      <w:r>
        <w:t xml:space="preserve"> </w:t>
      </w:r>
      <w:r>
        <w:t xml:space="preserve">in</w:t>
      </w:r>
      <w:r>
        <w:t xml:space="preserve"> </w:t>
      </w:r>
      <w:r>
        <w:t xml:space="preserve">United Arab Emirates Dubai</w:t>
      </w:r>
      <w:r>
        <w:t xml:space="preserve">.</w:t>
      </w:r>
    </w:p>
    <w:bookmarkStart w:id="21" w:name="for-the-client"/>
    <w:p>
      <w:pPr>
        <w:pStyle w:val="Heading4"/>
      </w:pPr>
      <w:r>
        <w:t xml:space="preserve">For the Client</w:t>
      </w:r>
    </w:p>
    <w:p>
      <w:pPr>
        <w:pStyle w:val="FirstParagraph"/>
      </w:pPr>
      <w:r>
        <w:t xml:space="preserve">Name: _________________________</w:t>
      </w:r>
    </w:p>
    <w:p>
      <w:pPr>
        <w:pStyle w:val="BodyText"/>
      </w:pPr>
      <w:r>
        <w:t xml:space="preserve">Title: _________________________</w:t>
      </w:r>
    </w:p>
    <w:p>
      <w:pPr>
        <w:pStyle w:val="BodyText"/>
      </w:pPr>
      <w:r>
        <w:t xml:space="preserve">Company: _________________________</w:t>
      </w:r>
    </w:p>
    <w:p>
      <w:pPr>
        <w:pStyle w:val="BodyText"/>
      </w:pPr>
      <w:r>
        <w:t xml:space="preserve">Signature &amp; Date</w:t>
      </w:r>
    </w:p>
    <w:bookmarkEnd w:id="21"/>
    <w:bookmarkStart w:id="22" w:name="for-the-business-consultant"/>
    <w:p>
      <w:pPr>
        <w:pStyle w:val="Heading4"/>
      </w:pPr>
      <w:r>
        <w:t xml:space="preserve">For the Business Consultant</w:t>
      </w:r>
    </w:p>
    <w:p>
      <w:pPr>
        <w:pStyle w:val="FirstParagraph"/>
      </w:pPr>
      <w:r>
        <w:t xml:space="preserve">Name: _________________________</w:t>
      </w:r>
    </w:p>
    <w:p>
      <w:pPr>
        <w:pStyle w:val="BodyText"/>
      </w:pPr>
      <w:r>
        <w:t xml:space="preserve">Title: Senior Business Consultant</w:t>
      </w:r>
    </w:p>
    <w:p>
      <w:pPr>
        <w:pStyle w:val="BodyText"/>
      </w:pPr>
      <w:r>
        <w:t xml:space="preserve">Firm: _________________________</w:t>
      </w:r>
    </w:p>
    <w:p>
      <w:pPr>
        <w:pStyle w:val="BodyText"/>
      </w:pPr>
      <w:r>
        <w:t xml:space="preserve">Signature &amp; Date</w:t>
      </w:r>
    </w:p>
    <w:bookmarkEnd w:id="22"/>
    <w:p>
      <w:pPr>
        <w:pStyle w:val="BodyText"/>
      </w:pPr>
      <w:r>
        <w:t xml:space="preserve">This Quotation Estimate is a confidential document prepared exclusively for the named client. Unauthorized reproduction or distribution is strictly prohibited.</w:t>
      </w:r>
    </w:p>
    <w:p>
      <w:pPr>
        <w:pStyle w:val="BodyText"/>
      </w:pPr>
      <w:r>
        <w:t xml:space="preserve">Business Consultant Services | United Arab Emirates Dubai | Quotation No. QTE-DBX-2025-04782</w:t>
      </w:r>
    </w:p>
    <w:p>
      <w:pPr>
        <w:pStyle w:val="BodyText"/>
      </w:pPr>
      <w:r>
        <w:t xml:space="preserve">©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United Arab Emirates Dubai</dc:title>
  <dc:creator/>
  <dc:language>en</dc:language>
  <cp:keywords/>
  <dcterms:created xsi:type="dcterms:W3CDTF">2026-10-10T02:03:40Z</dcterms:created>
  <dcterms:modified xsi:type="dcterms:W3CDTF">2026-10-10T02:03:40Z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