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quotation-estimate"/>
    <w:p>
      <w:pPr>
        <w:pStyle w:val="Heading1"/>
      </w:pPr>
      <w:r>
        <w:t xml:space="preserve">Quotation Estimate</w:t>
      </w:r>
    </w:p>
    <w:p>
      <w:pPr>
        <w:pStyle w:val="FirstParagraph"/>
      </w:pPr>
      <w:r>
        <w:t xml:space="preserve">Professional Business Consultant Services</w:t>
      </w:r>
    </w:p>
    <w:p>
      <w:pPr>
        <w:pStyle w:val="BodyText"/>
      </w:pPr>
      <w:r>
        <w:t xml:space="preserve">United Kingdom London | Valid for 30 Days from Issue Date</w:t>
      </w:r>
    </w:p>
    <w:bookmarkEnd w:id="20"/>
    <w:p>
      <w:pPr>
        <w:pStyle w:val="BodyText"/>
      </w:pPr>
      <w:r>
        <w:rPr>
          <w:bCs/>
          <w:b/>
        </w:rPr>
        <w:t xml:space="preserve">Quotation Reference:</w:t>
      </w:r>
      <w:r>
        <w:t xml:space="preserve"> </w:t>
      </w:r>
      <w:r>
        <w:t xml:space="preserve">QTE-LON-2025-0487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By:</w:t>
      </w:r>
      <w:r>
        <w:t xml:space="preserve"> </w:t>
      </w:r>
      <w:r>
        <w:t xml:space="preserve">Sterling Advisory Partners Ltd</w:t>
      </w:r>
      <w:r>
        <w:br/>
      </w:r>
      <w:r>
        <w:rPr>
          <w:bCs/>
          <w:b/>
        </w:rPr>
        <w:t xml:space="preserve">Address:</w:t>
      </w:r>
      <w:r>
        <w:t xml:space="preserve"> </w:t>
      </w:r>
      <w:r>
        <w:t xml:space="preserve">42 Cannon Street, London EC4N 6JN</w:t>
      </w:r>
      <w:r>
        <w:br/>
      </w:r>
      <w:r>
        <w:rPr>
          <w:bCs/>
          <w:b/>
        </w:rPr>
        <w:t xml:space="preserve">Contact:</w:t>
      </w:r>
      <w:r>
        <w:t xml:space="preserve"> </w:t>
      </w:r>
      <w:r>
        <w:t xml:space="preserve">enquiries@sterlingadvisory.co.uk</w:t>
      </w:r>
    </w:p>
    <w:p>
      <w:pPr>
        <w:pStyle w:val="BodyText"/>
      </w:pPr>
      <w:r>
        <w:rPr>
          <w:bCs/>
          <w:b/>
        </w:rPr>
        <w:t xml:space="preserve">Prepared For:</w:t>
      </w:r>
      <w:r>
        <w:t xml:space="preserve"> </w:t>
      </w:r>
      <w:r>
        <w:t xml:space="preserve">[Client Company Name]</w:t>
      </w:r>
      <w:r>
        <w:br/>
      </w:r>
      <w:r>
        <w:rPr>
          <w:bCs/>
          <w:b/>
        </w:rPr>
        <w:t xml:space="preserve">Client Address:</w:t>
      </w:r>
      <w:r>
        <w:t xml:space="preserve"> </w:t>
      </w:r>
      <w:r>
        <w:t xml:space="preserve">[Street Address], London, United Kingdom</w:t>
      </w:r>
      <w:r>
        <w:br/>
      </w:r>
      <w:r>
        <w:rPr>
          <w:bCs/>
          <w:b/>
        </w:rPr>
        <w:t xml:space="preserve">Client Contact:</w:t>
      </w:r>
      <w:r>
        <w:t xml:space="preserve"> </w:t>
      </w:r>
      <w:r>
        <w:t xml:space="preserve">[Name &amp; Email]</w:t>
      </w:r>
    </w:p>
    <w:bookmarkStart w:id="21" w:name="introduction-and-scope-of-engagement"/>
    <w:p>
      <w:pPr>
        <w:pStyle w:val="Heading2"/>
      </w:pPr>
      <w:r>
        <w:t xml:space="preserve">1. Introduction and Scope of Engagement</w:t>
      </w:r>
    </w:p>
    <w:p>
      <w:pPr>
        <w:pStyle w:val="FirstParagraph"/>
      </w:pPr>
      <w:r>
        <w:t xml:space="preserve">This</w:t>
      </w:r>
      <w:r>
        <w:t xml:space="preserve"> </w:t>
      </w:r>
      <w:r>
        <w:t xml:space="preserve">Quotation Estimate</w:t>
      </w:r>
      <w:r>
        <w:t xml:space="preserve"> </w:t>
      </w:r>
      <w:r>
        <w:t xml:space="preserve">has been prepared by Sterling Advisory Partners Ltd, a registered firm of professional consultants operating within the United Kingdom, to provide a comprehensive and transparent breakdown of costs associated with the engagement of a dedicated</w:t>
      </w:r>
      <w:r>
        <w:t xml:space="preserve"> </w:t>
      </w:r>
      <w:r>
        <w:t xml:space="preserve">Business Consultant</w:t>
      </w:r>
      <w:r>
        <w:t xml:space="preserve"> </w:t>
      </w:r>
      <w:r>
        <w:t xml:space="preserve">for the client organisation. This document serves as a formal</w:t>
      </w:r>
      <w:r>
        <w:t xml:space="preserve"> </w:t>
      </w:r>
      <w:r>
        <w:t xml:space="preserve">Quotation Estimate</w:t>
      </w:r>
      <w:r>
        <w:t xml:space="preserve"> </w:t>
      </w:r>
      <w:r>
        <w:t xml:space="preserve">outlining the scope, deliverables, timelines, and associated fees for the proposed consultancy engagement to be delivered in</w:t>
      </w:r>
      <w:r>
        <w:t xml:space="preserve"> </w:t>
      </w:r>
      <w:r>
        <w:t xml:space="preserve">United Kingdom London</w:t>
      </w:r>
      <w:r>
        <w:t xml:space="preserve">.</w:t>
      </w:r>
    </w:p>
    <w:p>
      <w:pPr>
        <w:pStyle w:val="BodyText"/>
      </w:pPr>
      <w:r>
        <w:t xml:space="preserve">The</w:t>
      </w:r>
      <w:r>
        <w:t xml:space="preserve"> </w:t>
      </w:r>
      <w:r>
        <w:t xml:space="preserve">Business Consultant</w:t>
      </w:r>
      <w:r>
        <w:t xml:space="preserve"> </w:t>
      </w:r>
      <w:r>
        <w:t xml:space="preserve">engagement described herein is designed to address the client's strategic, operational, and organisational development needs. All services will be delivered in accordance with the highest professional standards expected within the United Kingdom business environment, and the consultant will operate in full compliance with the regulations and professional codes of conduct applicable in</w:t>
      </w:r>
      <w:r>
        <w:t xml:space="preserve"> </w:t>
      </w:r>
      <w:r>
        <w:t xml:space="preserve">United Kingdom London</w:t>
      </w:r>
      <w:r>
        <w:t xml:space="preserve">.</w:t>
      </w:r>
    </w:p>
    <w:bookmarkEnd w:id="21"/>
    <w:bookmarkStart w:id="22" w:name="detailed-service-breakdown-and-costs"/>
    <w:p>
      <w:pPr>
        <w:pStyle w:val="Heading2"/>
      </w:pPr>
      <w:r>
        <w:t xml:space="preserve">2. Detailed Service Breakdown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(GBP)</w:t>
            </w:r>
          </w:p>
        </w:tc>
        <w:tc>
          <w:tcPr/>
          <w:p>
            <w:pPr>
              <w:pStyle w:val="Compact"/>
              <w:jc w:val="left"/>
            </w:pPr>
            <w:r>
              <w:t xml:space="preserve">Amount (GBP)</w:t>
            </w:r>
          </w:p>
        </w:tc>
        <w:tc>
          <w:tcPr/>
          <w:p>
            <w:pPr>
              <w:pStyle w:val="Compact"/>
              <w:jc w:val="left"/>
            </w:pPr>
            <w:r>
              <w:t xml:space="preserve">Notes</w:t>
            </w:r>
          </w:p>
        </w:tc>
      </w:tr>
      <w:tr>
        <w:tc>
          <w:tcPr/>
          <w:p>
            <w:pPr>
              <w:pStyle w:val="Compact"/>
              <w:jc w:val="left"/>
            </w:pPr>
            <w:r>
              <w:t xml:space="preserve">01</w:t>
            </w:r>
          </w:p>
        </w:tc>
        <w:tc>
          <w:tcPr/>
          <w:p>
            <w:pPr>
              <w:pStyle w:val="Compact"/>
              <w:jc w:val="left"/>
            </w:pPr>
            <w:r>
              <w:t xml:space="preserve">Initial Strategic Assessment &amp; Diagnostic Review of current business operations, market positioning, and competitive landscape within the London metropolitan area.</w:t>
            </w:r>
          </w:p>
        </w:tc>
        <w:tc>
          <w:tcPr/>
          <w:p>
            <w:pPr>
              <w:pStyle w:val="Compact"/>
              <w:jc w:val="left"/>
            </w:pPr>
            <w:r>
              <w:t xml:space="preserve">2 weeks</w:t>
            </w:r>
          </w:p>
        </w:tc>
        <w:tc>
          <w:tcPr/>
          <w:p>
            <w:pPr>
              <w:pStyle w:val="Compact"/>
              <w:jc w:val="left"/>
            </w:pPr>
            <w:r>
              <w:t xml:space="preserve">£1,200 / day</w:t>
            </w:r>
          </w:p>
        </w:tc>
        <w:tc>
          <w:tcPr/>
          <w:p>
            <w:pPr>
              <w:pStyle w:val="Compact"/>
              <w:jc w:val="left"/>
            </w:pPr>
            <w:r>
              <w:t xml:space="preserve">£24,000.00</w:t>
            </w:r>
          </w:p>
        </w:tc>
        <w:tc>
          <w:tcPr/>
          <w:p>
            <w:pPr>
              <w:pStyle w:val="Compact"/>
              <w:jc w:val="left"/>
            </w:pPr>
            <w:r>
              <w:t xml:space="preserve">On-site in London</w:t>
            </w:r>
          </w:p>
        </w:tc>
      </w:tr>
      <w:tr>
        <w:tc>
          <w:tcPr/>
          <w:p>
            <w:pPr>
              <w:pStyle w:val="Compact"/>
              <w:jc w:val="left"/>
            </w:pPr>
            <w:r>
              <w:t xml:space="preserve">02</w:t>
            </w:r>
          </w:p>
        </w:tc>
        <w:tc>
          <w:tcPr/>
          <w:p>
            <w:pPr>
              <w:pStyle w:val="Compact"/>
              <w:jc w:val="left"/>
            </w:pPr>
            <w:r>
              <w:t xml:space="preserve">Business Process Re-engineering &amp; Operational Efficiency Analysis. The Business Consultant will conduct a thorough review of all core processes and recommend optimisation strategies.</w:t>
            </w:r>
          </w:p>
        </w:tc>
        <w:tc>
          <w:tcPr/>
          <w:p>
            <w:pPr>
              <w:pStyle w:val="Compact"/>
              <w:jc w:val="left"/>
            </w:pPr>
            <w:r>
              <w:t xml:space="preserve">4 weeks</w:t>
            </w:r>
          </w:p>
        </w:tc>
        <w:tc>
          <w:tcPr/>
          <w:p>
            <w:pPr>
              <w:pStyle w:val="Compact"/>
              <w:jc w:val="left"/>
            </w:pPr>
            <w:r>
              <w:t xml:space="preserve">£1,200 / day</w:t>
            </w:r>
          </w:p>
        </w:tc>
        <w:tc>
          <w:tcPr/>
          <w:p>
            <w:pPr>
              <w:pStyle w:val="Compact"/>
              <w:jc w:val="left"/>
            </w:pPr>
            <w:r>
              <w:t xml:space="preserve">£48,000.00</w:t>
            </w:r>
          </w:p>
        </w:tc>
        <w:tc>
          <w:tcPr/>
          <w:p>
            <w:pPr>
              <w:pStyle w:val="Compact"/>
              <w:jc w:val="left"/>
            </w:pPr>
            <w:r>
              <w:t xml:space="preserve">Hybrid (London office &amp; remote)</w:t>
            </w:r>
          </w:p>
        </w:tc>
      </w:tr>
      <w:tr>
        <w:tc>
          <w:tcPr/>
          <w:p>
            <w:pPr>
              <w:pStyle w:val="Compact"/>
              <w:jc w:val="left"/>
            </w:pPr>
            <w:r>
              <w:t xml:space="preserve">03</w:t>
            </w:r>
          </w:p>
        </w:tc>
        <w:tc>
          <w:tcPr/>
          <w:p>
            <w:pPr>
              <w:pStyle w:val="Compact"/>
              <w:jc w:val="left"/>
            </w:pPr>
            <w:r>
              <w:t xml:space="preserve">Financial Modelling &amp; Revenue Growth Strategy Development tailored to the United Kingdom market conditions and regulatory framework.</w:t>
            </w:r>
          </w:p>
        </w:tc>
        <w:tc>
          <w:tcPr/>
          <w:p>
            <w:pPr>
              <w:pStyle w:val="Compact"/>
              <w:jc w:val="left"/>
            </w:pPr>
            <w:r>
              <w:t xml:space="preserve">3 weeks</w:t>
            </w:r>
          </w:p>
        </w:tc>
        <w:tc>
          <w:tcPr/>
          <w:p>
            <w:pPr>
              <w:pStyle w:val="Compact"/>
              <w:jc w:val="left"/>
            </w:pPr>
            <w:r>
              <w:t xml:space="preserve">£1,400 / day</w:t>
            </w:r>
          </w:p>
        </w:tc>
        <w:tc>
          <w:tcPr/>
          <w:p>
            <w:pPr>
              <w:pStyle w:val="Compact"/>
              <w:jc w:val="left"/>
            </w:pPr>
            <w:r>
              <w:t xml:space="preserve">£31,500.00</w:t>
            </w:r>
          </w:p>
        </w:tc>
        <w:tc>
          <w:tcPr/>
          <w:p>
            <w:pPr>
              <w:pStyle w:val="Compact"/>
              <w:jc w:val="left"/>
            </w:pPr>
            <w:r>
              <w:t xml:space="preserve">Senior Consultant level</w:t>
            </w:r>
          </w:p>
        </w:tc>
      </w:tr>
      <w:tr>
        <w:tc>
          <w:tcPr/>
          <w:p>
            <w:pPr>
              <w:pStyle w:val="Compact"/>
              <w:jc w:val="left"/>
            </w:pPr>
            <w:r>
              <w:t xml:space="preserve">04</w:t>
            </w:r>
          </w:p>
        </w:tc>
        <w:tc>
          <w:tcPr/>
          <w:p>
            <w:pPr>
              <w:pStyle w:val="Compact"/>
              <w:jc w:val="left"/>
            </w:pPr>
            <w:r>
              <w:t xml:space="preserve">Organisational Change Management &amp; Leadership Development Programme design and facilitation for executive team based in United Kingdom London.</w:t>
            </w:r>
          </w:p>
        </w:tc>
        <w:tc>
          <w:tcPr/>
          <w:p>
            <w:pPr>
              <w:pStyle w:val="Compact"/>
              <w:jc w:val="left"/>
            </w:pPr>
            <w:r>
              <w:t xml:space="preserve">3 weeks</w:t>
            </w:r>
          </w:p>
        </w:tc>
        <w:tc>
          <w:tcPr/>
          <w:p>
            <w:pPr>
              <w:pStyle w:val="Compact"/>
              <w:jc w:val="left"/>
            </w:pPr>
            <w:r>
              <w:t xml:space="preserve">£1,100 / day</w:t>
            </w:r>
          </w:p>
        </w:tc>
        <w:tc>
          <w:tcPr/>
          <w:p>
            <w:pPr>
              <w:pStyle w:val="Compact"/>
              <w:jc w:val="left"/>
            </w:pPr>
            <w:r>
              <w:t xml:space="preserve">£23,100.00</w:t>
            </w:r>
          </w:p>
        </w:tc>
        <w:tc>
          <w:tcPr/>
          <w:p>
            <w:pPr>
              <w:pStyle w:val="Compact"/>
              <w:jc w:val="left"/>
            </w:pPr>
            <w:r>
              <w:t xml:space="preserve">Workshops in London</w:t>
            </w:r>
          </w:p>
        </w:tc>
      </w:tr>
      <w:tr>
        <w:tc>
          <w:tcPr/>
          <w:p>
            <w:pPr>
              <w:pStyle w:val="Compact"/>
              <w:jc w:val="left"/>
            </w:pPr>
            <w:r>
              <w:t xml:space="preserve">05</w:t>
            </w:r>
          </w:p>
        </w:tc>
        <w:tc>
          <w:tcPr/>
          <w:p>
            <w:pPr>
              <w:pStyle w:val="Compact"/>
              <w:jc w:val="left"/>
            </w:pPr>
            <w:r>
              <w:t xml:space="preserve">Digital Transformation Roadmap &amp; Technology Integration Advisory. Assessment of current IT infrastructure and recommendation of scalable solutions.</w:t>
            </w:r>
          </w:p>
        </w:tc>
        <w:tc>
          <w:tcPr/>
          <w:p>
            <w:pPr>
              <w:pStyle w:val="Compact"/>
              <w:jc w:val="left"/>
            </w:pPr>
            <w:r>
              <w:t xml:space="preserve">2 weeks</w:t>
            </w:r>
          </w:p>
        </w:tc>
        <w:tc>
          <w:tcPr/>
          <w:p>
            <w:pPr>
              <w:pStyle w:val="Compact"/>
              <w:jc w:val="left"/>
            </w:pPr>
            <w:r>
              <w:t xml:space="preserve">£1,300 / day</w:t>
            </w:r>
          </w:p>
        </w:tc>
        <w:tc>
          <w:tcPr/>
          <w:p>
            <w:pPr>
              <w:pStyle w:val="Compact"/>
              <w:jc w:val="left"/>
            </w:pPr>
            <w:r>
              <w:t xml:space="preserve">£18,200.00</w:t>
            </w:r>
          </w:p>
        </w:tc>
        <w:tc>
          <w:tcPr/>
          <w:p>
            <w:pPr>
              <w:pStyle w:val="Compact"/>
              <w:jc w:val="left"/>
            </w:pPr>
            <w:r>
              <w:t xml:space="preserve">Remote &amp; on-site</w:t>
            </w:r>
          </w:p>
        </w:tc>
      </w:tr>
      <w:tr>
        <w:tc>
          <w:tcPr/>
          <w:p>
            <w:pPr>
              <w:pStyle w:val="Compact"/>
              <w:jc w:val="left"/>
            </w:pPr>
            <w:r>
              <w:t xml:space="preserve">06</w:t>
            </w:r>
          </w:p>
        </w:tc>
        <w:tc>
          <w:tcPr/>
          <w:p>
            <w:pPr>
              <w:pStyle w:val="Compact"/>
              <w:jc w:val="left"/>
            </w:pPr>
            <w:r>
              <w:t xml:space="preserve">Final Reporting, Presentation to Board of Directors, and 60-day Post-Implementation Support Period.</w:t>
            </w:r>
          </w:p>
        </w:tc>
        <w:tc>
          <w:tcPr/>
          <w:p>
            <w:pPr>
              <w:pStyle w:val="Compact"/>
              <w:jc w:val="left"/>
            </w:pPr>
            <w:r>
              <w:t xml:space="preserve">2 weeks</w:t>
            </w:r>
          </w:p>
        </w:tc>
        <w:tc>
          <w:tcPr/>
          <w:p>
            <w:pPr>
              <w:pStyle w:val="Compact"/>
              <w:jc w:val="left"/>
            </w:pPr>
            <w:r>
              <w:t xml:space="preserve">£1,000 / day</w:t>
            </w:r>
          </w:p>
        </w:tc>
        <w:tc>
          <w:tcPr/>
          <w:p>
            <w:pPr>
              <w:pStyle w:val="Compact"/>
              <w:jc w:val="left"/>
            </w:pPr>
            <w:r>
              <w:t xml:space="preserve">£14,000.00</w:t>
            </w:r>
          </w:p>
        </w:tc>
        <w:tc>
          <w:tcPr/>
          <w:p>
            <w:pPr>
              <w:pStyle w:val="Compact"/>
              <w:jc w:val="left"/>
            </w:pPr>
            <w:r>
              <w:t xml:space="preserve">Includes board presentation</w:t>
            </w:r>
          </w:p>
        </w:tc>
      </w:tr>
      <w:tr>
        <w:tc>
          <w:tcPr>
            <w:gridSpan w:val="4"/>
          </w:tcPr>
          <w:p>
            <w:pPr>
              <w:pStyle w:val="Compact"/>
              <w:jc w:val="right"/>
            </w:pPr>
            <w:r>
              <w:t xml:space="preserve">Subtotal (Excluding VAT):</w:t>
            </w:r>
          </w:p>
        </w:tc>
        <w:tc>
          <w:tcPr/>
          <w:p>
            <w:pPr>
              <w:pStyle w:val="Compact"/>
              <w:jc w:val="left"/>
            </w:pPr>
            <w:r>
              <w:t xml:space="preserve">£158,800.00</w:t>
            </w:r>
          </w:p>
        </w:tc>
        <w:tc>
          <w:tcPr/>
          <w:p>
            <w:pPr>
              <w:pStyle w:val="Compact"/>
            </w:pPr>
          </w:p>
        </w:tc>
      </w:tr>
      <w:tr>
        <w:tc>
          <w:tcPr>
            <w:gridSpan w:val="4"/>
          </w:tcPr>
          <w:p>
            <w:pPr>
              <w:pStyle w:val="Compact"/>
              <w:jc w:val="right"/>
            </w:pPr>
            <w:r>
              <w:t xml:space="preserve">VAT @ 20% (United Kingdom Standard Rate):</w:t>
            </w:r>
          </w:p>
        </w:tc>
        <w:tc>
          <w:tcPr/>
          <w:p>
            <w:pPr>
              <w:pStyle w:val="Compact"/>
              <w:jc w:val="left"/>
            </w:pPr>
            <w:r>
              <w:t xml:space="preserve">£31,760.00</w:t>
            </w:r>
          </w:p>
        </w:tc>
        <w:tc>
          <w:tcPr/>
          <w:p>
            <w:pPr>
              <w:pStyle w:val="Compact"/>
            </w:pPr>
          </w:p>
        </w:tc>
      </w:tr>
      <w:tr>
        <w:tc>
          <w:tcPr>
            <w:gridSpan w:val="4"/>
          </w:tcPr>
          <w:p>
            <w:pPr>
              <w:pStyle w:val="Compact"/>
              <w:jc w:val="right"/>
            </w:pPr>
            <w:r>
              <w:t xml:space="preserve">TOTAL QUOTATION ESTIMATE (Incl. VAT):</w:t>
            </w:r>
          </w:p>
        </w:tc>
        <w:tc>
          <w:tcPr/>
          <w:p>
            <w:pPr>
              <w:pStyle w:val="Compact"/>
              <w:jc w:val="left"/>
            </w:pPr>
            <w:r>
              <w:t xml:space="preserve">£190,560.00</w:t>
            </w:r>
          </w:p>
        </w:tc>
        <w:tc>
          <w:tcPr/>
          <w:p>
            <w:pPr>
              <w:pStyle w:val="Compact"/>
            </w:pP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is valid for a period of thirty (30) calendar days from the date of issue. After this period, all rates and terms are subject to revision due to market conditions in United Kingdom London.</w:t>
      </w:r>
    </w:p>
    <w:p>
      <w:pPr>
        <w:numPr>
          <w:ilvl w:val="0"/>
          <w:numId w:val="1001"/>
        </w:numPr>
        <w:pStyle w:val="Compact"/>
      </w:pPr>
      <w:r>
        <w:rPr>
          <w:bCs/>
          <w:b/>
        </w:rPr>
        <w:t xml:space="preserve">Payment Terms:</w:t>
      </w:r>
      <w:r>
        <w:t xml:space="preserve"> </w:t>
      </w:r>
      <w:r>
        <w:t xml:space="preserve">Payment shall be made within thirty (30) days of invoice date. A 25% deposit is required upon acceptance of this Quotation Estimate to secure the Business Consultant's availability. The remaining balance shall be invoiced in monthly instalments aligned with the project milestones outlined above.</w:t>
      </w:r>
    </w:p>
    <w:p>
      <w:pPr>
        <w:numPr>
          <w:ilvl w:val="0"/>
          <w:numId w:val="1001"/>
        </w:numPr>
        <w:pStyle w:val="Compact"/>
      </w:pPr>
      <w:r>
        <w:rPr>
          <w:bCs/>
          <w:b/>
        </w:rPr>
        <w:t xml:space="preserve">Scope Changes:</w:t>
      </w:r>
      <w:r>
        <w:t xml:space="preserve"> </w:t>
      </w:r>
      <w:r>
        <w:t xml:space="preserve">Any material change to the scope of work beyond the parameters described in this Quotation Estimate will require a formal variation order signed by both parties. Additional fees will be calculated at the prevailing daily rate of the assigned Business Consultant.</w:t>
      </w:r>
    </w:p>
    <w:p>
      <w:pPr>
        <w:numPr>
          <w:ilvl w:val="0"/>
          <w:numId w:val="1001"/>
        </w:numPr>
        <w:pStyle w:val="Compact"/>
      </w:pPr>
      <w:r>
        <w:rPr>
          <w:bCs/>
          <w:b/>
        </w:rPr>
        <w:t xml:space="preserve">Confidentiality:</w:t>
      </w:r>
      <w:r>
        <w:t xml:space="preserve"> </w:t>
      </w:r>
      <w:r>
        <w:t xml:space="preserve">The Business Consultant and Sterling Advisory Partners Ltd shall maintain strict confidentiality regarding all client information, trade secrets, and proprietary data encountered during the engagement in United Kingdom London. A separate Non-Disclosure Agreement (NDA) will be executed prior to commencement of work.</w:t>
      </w:r>
    </w:p>
    <w:p>
      <w:pPr>
        <w:numPr>
          <w:ilvl w:val="0"/>
          <w:numId w:val="1001"/>
        </w:numPr>
        <w:pStyle w:val="Compact"/>
      </w:pPr>
      <w:r>
        <w:rPr>
          <w:bCs/>
          <w:b/>
        </w:rPr>
        <w:t xml:space="preserve">Intellectual Property:</w:t>
      </w:r>
      <w:r>
        <w:t xml:space="preserve"> </w:t>
      </w:r>
      <w:r>
        <w:t xml:space="preserve">All reports, strategies, models, and deliverables produced by the Business Consultant specifically for the client under this Quotation Estimate shall become the sole property of the client upon full payment of all fees.</w:t>
      </w:r>
    </w:p>
    <w:p>
      <w:pPr>
        <w:numPr>
          <w:ilvl w:val="0"/>
          <w:numId w:val="1001"/>
        </w:numPr>
        <w:pStyle w:val="Compact"/>
      </w:pPr>
      <w:r>
        <w:rPr>
          <w:bCs/>
          <w:b/>
        </w:rPr>
        <w:t xml:space="preserve">Travel and Expenses:</w:t>
      </w:r>
      <w:r>
        <w:t xml:space="preserve"> </w:t>
      </w:r>
      <w:r>
        <w:t xml:space="preserve">All travel within the London metropolitan area is included. Travel to locations outside the M25 motorway boundary will be billed at actual cost, subject to prior written approval by the client.</w:t>
      </w:r>
    </w:p>
    <w:p>
      <w:pPr>
        <w:numPr>
          <w:ilvl w:val="0"/>
          <w:numId w:val="1001"/>
        </w:numPr>
        <w:pStyle w:val="Compact"/>
      </w:pPr>
      <w:r>
        <w:rPr>
          <w:bCs/>
          <w:b/>
        </w:rPr>
        <w:t xml:space="preserve">Termination:</w:t>
      </w:r>
      <w:r>
        <w:t xml:space="preserve"> </w:t>
      </w:r>
      <w:r>
        <w:t xml:space="preserve">Either party may terminate the engagement with fourteen (14) days written notice. In the event of early termination by the client, all fees for work completed up to the termination date, plus a 10% administrative fee, shall be payable.</w:t>
      </w:r>
    </w:p>
    <w:p>
      <w:pPr>
        <w:numPr>
          <w:ilvl w:val="0"/>
          <w:numId w:val="1001"/>
        </w:numPr>
        <w:pStyle w:val="Compact"/>
      </w:pPr>
      <w:r>
        <w:rPr>
          <w:bCs/>
          <w:b/>
        </w:rPr>
        <w:t xml:space="preserve">Governing Law:</w:t>
      </w:r>
      <w:r>
        <w:t xml:space="preserve"> </w:t>
      </w:r>
      <w:r>
        <w:t xml:space="preserve">This Quotation Estimate and any resulting contract shall be governed by and construed in accordance with the laws of England and Wales, United Kingdom. Any disputes shall be subject to the exclusive jurisdiction of the courts of London, United Kingdom.</w:t>
      </w:r>
    </w:p>
    <w:p>
      <w:pPr>
        <w:numPr>
          <w:ilvl w:val="0"/>
          <w:numId w:val="1001"/>
        </w:numPr>
        <w:pStyle w:val="Compact"/>
      </w:pPr>
      <w:r>
        <w:rPr>
          <w:bCs/>
          <w:b/>
        </w:rPr>
        <w:t xml:space="preserve">Insurance and Compliance:</w:t>
      </w:r>
      <w:r>
        <w:t xml:space="preserve"> </w:t>
      </w:r>
      <w:r>
        <w:t xml:space="preserve">Sterling Advisory Partners Ltd holds professional indemnity insurance of not less than £5,000,000 and public liability insurance of not less than £10,000,000, in compliance with United Kingdom regulatory requirements.</w:t>
      </w:r>
    </w:p>
    <w:bookmarkEnd w:id="23"/>
    <w:bookmarkStart w:id="24" w:name="assumptions-and-exclusions"/>
    <w:p>
      <w:pPr>
        <w:pStyle w:val="Heading2"/>
      </w:pPr>
      <w:r>
        <w:t xml:space="preserve">4. Assumptions and Exclusions</w:t>
      </w:r>
    </w:p>
    <w:p>
      <w:pPr>
        <w:pStyle w:val="FirstParagraph"/>
      </w:pPr>
      <w:r>
        <w:t xml:space="preserve">This Quotation Estimate assumes that the client will provide timely access to all relevant personnel, data, systems, and documentation required for the Business Consultant to perform the engagement effectively. This estimate does not include the cost of any third-party software licences, external data subscriptions, or specialist technical services that may be recommended during the course of the project. All figures are quoted in British Pounds Sterling (GBP) and are subject to the United Kingdom Value Added Tax (VAT) at the prevailing rate.</w:t>
      </w:r>
    </w:p>
    <w:bookmarkEnd w:id="24"/>
    <w:bookmarkStart w:id="25" w:name="acceptance-of-quotation-estimate"/>
    <w:p>
      <w:pPr>
        <w:pStyle w:val="Heading2"/>
      </w:pPr>
      <w:r>
        <w:t xml:space="preserve">5. Acceptance of Quotation Estimate</w:t>
      </w:r>
    </w:p>
    <w:p>
      <w:pPr>
        <w:pStyle w:val="FirstParagraph"/>
      </w:pPr>
      <w:r>
        <w:t xml:space="preserve">By signing below, the client confirms acceptance of this Quotation Estimate for Business Consultant services to be delivered in United Kingdom London. Upon signature, this document shall constitute a binding agreement between the parties, subject to the terms and conditions set out herein.</w:t>
      </w:r>
    </w:p>
    <w:p>
      <w:pPr>
        <w:pStyle w:val="BodyText"/>
      </w:pPr>
      <w:r>
        <w:rPr>
          <w:bCs/>
          <w:b/>
        </w:rPr>
        <w:t xml:space="preserve">For and on behalf of Sterling Advisory Partners Ltd:</w:t>
      </w:r>
    </w:p>
    <w:p>
      <w:pPr>
        <w:pStyle w:val="BodyText"/>
      </w:pPr>
      <w:r>
        <w:t xml:space="preserve">Name: James R. Whitfield, CMI, MCMI</w:t>
      </w:r>
      <w:r>
        <w:br/>
      </w:r>
      <w:r>
        <w:t xml:space="preserve">Title: Managing Director &amp; Lead Business Consultant</w:t>
      </w:r>
      <w:r>
        <w:br/>
      </w:r>
      <w:r>
        <w:t xml:space="preserve">Signature: _________________________</w:t>
      </w:r>
      <w:r>
        <w:br/>
      </w:r>
      <w:r>
        <w:t xml:space="preserve">Date: _________________________</w:t>
      </w:r>
    </w:p>
    <w:p>
      <w:pPr>
        <w:pStyle w:val="BodyText"/>
      </w:pPr>
      <w:r>
        <w:rPr>
          <w:bCs/>
          <w:b/>
        </w:rPr>
        <w:t xml:space="preserve">For and on behalf of the Client:</w:t>
      </w:r>
    </w:p>
    <w:p>
      <w:pPr>
        <w:pStyle w:val="BodyText"/>
      </w:pPr>
      <w:r>
        <w:t xml:space="preserve">Name: _________________________</w:t>
      </w:r>
      <w:r>
        <w:br/>
      </w:r>
      <w:r>
        <w:t xml:space="preserve">Title: _________________________</w:t>
      </w:r>
      <w:r>
        <w:br/>
      </w:r>
      <w:r>
        <w:t xml:space="preserve">Signature: _________________________</w:t>
      </w:r>
      <w:r>
        <w:br/>
      </w:r>
      <w:r>
        <w:t xml:space="preserve">Date: _________________________</w:t>
      </w:r>
    </w:p>
    <w:bookmarkEnd w:id="25"/>
    <w:p>
      <w:pPr>
        <w:pStyle w:val="BodyText"/>
      </w:pPr>
      <w:r>
        <w:t xml:space="preserve">Sterling Advisory Partners Ltd | Registered in England &amp; Wales No. 09876543 | VAT No. GB 123 4567 89</w:t>
      </w:r>
      <w:r>
        <w:br/>
      </w:r>
      <w:r>
        <w:t xml:space="preserve">42 Cannon Street, London EC4N 6JN, United Kingdom | Tel: +44 (0)20 7946 0000 | Email: enquiries@sterlingadvisory.co.uk</w:t>
      </w:r>
      <w:r>
        <w:br/>
      </w:r>
      <w:r>
        <w:t xml:space="preserve">This Quotation Estimate is the property of Sterling Advisory Partners Ltd and is issued solely for the named client. Unauthorised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Services - United Kingdom London</dc:title>
  <dc:creator/>
  <dc:language>en-GB</dc:language>
  <cp:keywords/>
  <dcterms:created xsi:type="dcterms:W3CDTF">2026-10-10T04:21:28Z</dcterms:created>
  <dcterms:modified xsi:type="dcterms:W3CDTF">2026-10-10T04:21:28Z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