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United States Los Angeles, California 90012</w:t>
      </w:r>
    </w:p>
    <w:bookmarkEnd w:id="20"/>
    <w:p>
      <w:pPr>
        <w:pStyle w:val="BodyText"/>
      </w:pPr>
      <w:r>
        <w:rPr>
          <w:bCs/>
          <w:b/>
        </w:rPr>
        <w:t xml:space="preserve">Quotation No.:</w:t>
      </w:r>
      <w:r>
        <w:t xml:space="preserve"> </w:t>
      </w:r>
      <w:r>
        <w:t xml:space="preserve">QTE-LA-2025-0487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Meridian Strategic Advisory Group</w:t>
      </w:r>
      <w:r>
        <w:br/>
      </w:r>
      <w:r>
        <w:rPr>
          <w:bCs/>
          <w:b/>
        </w:rPr>
        <w:t xml:space="preserve">Address:</w:t>
      </w:r>
      <w:r>
        <w:t xml:space="preserve"> </w:t>
      </w:r>
      <w:r>
        <w:t xml:space="preserve">5900 Wilshire Blvd, Suite 2100</w:t>
      </w:r>
      <w:r>
        <w:br/>
      </w:r>
      <w:r>
        <w:rPr>
          <w:bCs/>
          <w:b/>
        </w:rPr>
        <w:t xml:space="preserve">Los Angeles, CA 90036, United States</w:t>
      </w:r>
      <w:r>
        <w:br/>
      </w:r>
      <w:r>
        <w:rPr>
          <w:bCs/>
          <w:b/>
        </w:rPr>
        <w:t xml:space="preserve">Contact:</w:t>
      </w:r>
      <w:r>
        <w:t xml:space="preserve"> </w:t>
      </w:r>
      <w:r>
        <w:t xml:space="preserve">(213) 555-0142 | info@meridianstrategic.com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Pacific Crest Holdings, LLC</w:t>
            </w:r>
          </w:p>
        </w:tc>
      </w:tr>
      <w:tr>
        <w:tc>
          <w:tcPr/>
          <w:p>
            <w:pPr>
              <w:pStyle w:val="Compact"/>
              <w:jc w:val="left"/>
            </w:pPr>
            <w:r>
              <w:t xml:space="preserve">Client Address</w:t>
            </w:r>
          </w:p>
        </w:tc>
        <w:tc>
          <w:tcPr/>
          <w:p>
            <w:pPr>
              <w:pStyle w:val="Compact"/>
              <w:jc w:val="left"/>
            </w:pPr>
            <w:r>
              <w:t xml:space="preserve">1200 S. Grand Avenue, Los Angeles, CA 90015, United States</w:t>
            </w:r>
          </w:p>
        </w:tc>
      </w:tr>
      <w:tr>
        <w:tc>
          <w:tcPr/>
          <w:p>
            <w:pPr>
              <w:pStyle w:val="Compact"/>
              <w:jc w:val="left"/>
            </w:pPr>
            <w:r>
              <w:t xml:space="preserve">Primary Contact</w:t>
            </w:r>
          </w:p>
        </w:tc>
        <w:tc>
          <w:tcPr/>
          <w:p>
            <w:pPr>
              <w:pStyle w:val="Compact"/>
              <w:jc w:val="left"/>
            </w:pPr>
            <w:r>
              <w:t xml:space="preserve">Ms. Rebecca Tanaka, Chief Operating Officer</w:t>
            </w:r>
          </w:p>
        </w:tc>
      </w:tr>
      <w:tr>
        <w:tc>
          <w:tcPr/>
          <w:p>
            <w:pPr>
              <w:pStyle w:val="Compact"/>
              <w:jc w:val="left"/>
            </w:pPr>
            <w:r>
              <w:t xml:space="preserve">Industry</w:t>
            </w:r>
          </w:p>
        </w:tc>
        <w:tc>
          <w:tcPr/>
          <w:p>
            <w:pPr>
              <w:pStyle w:val="Compact"/>
              <w:jc w:val="left"/>
            </w:pPr>
            <w:r>
              <w:t xml:space="preserve">Technology &amp; Software Development</w:t>
            </w:r>
          </w:p>
        </w:tc>
      </w:tr>
      <w:tr>
        <w:tc>
          <w:tcPr/>
          <w:p>
            <w:pPr>
              <w:pStyle w:val="Compact"/>
              <w:jc w:val="left"/>
            </w:pPr>
            <w:r>
              <w:t xml:space="preserve">Project Reference</w:t>
            </w:r>
          </w:p>
        </w:tc>
        <w:tc>
          <w:tcPr/>
          <w:p>
            <w:pPr>
              <w:pStyle w:val="Compact"/>
              <w:jc w:val="left"/>
            </w:pPr>
            <w:r>
              <w:t xml:space="preserve">Operational Restructuring &amp; Market Expansion Strategy</w:t>
            </w:r>
          </w:p>
        </w:tc>
      </w:tr>
    </w:tbl>
    <w:bookmarkEnd w:id="21"/>
    <w:bookmarkStart w:id="22" w:name="scope-of-services"/>
    <w:p>
      <w:pPr>
        <w:pStyle w:val="Heading2"/>
      </w:pPr>
      <w:r>
        <w:t xml:space="preserve">2. Scope of Services</w:t>
      </w:r>
    </w:p>
    <w:p>
      <w:pPr>
        <w:pStyle w:val="FirstParagraph"/>
      </w:pPr>
      <w:r>
        <w:t xml:space="preserve">This</w:t>
      </w:r>
      <w:r>
        <w:t xml:space="preserve"> </w:t>
      </w:r>
      <w:r>
        <w:t xml:space="preserve">Quotation Estimate</w:t>
      </w:r>
      <w:r>
        <w:t xml:space="preserve"> </w:t>
      </w:r>
      <w:r>
        <w:t xml:space="preserve">has been prepared by Meridian Strategic Advisory Group to outline the full range of professional services that our senior</w:t>
      </w:r>
      <w:r>
        <w:t xml:space="preserve"> </w:t>
      </w:r>
      <w:r>
        <w:t xml:space="preserve">Business Consultant</w:t>
      </w:r>
      <w:r>
        <w:t xml:space="preserve"> </w:t>
      </w:r>
      <w:r>
        <w:t xml:space="preserve">will deliver to Pacific Crest Holdings, LLC. The engagement is specifically tailored to the unique economic landscape, regulatory environment, and competitive dynamics of the</w:t>
      </w:r>
      <w:r>
        <w:t xml:space="preserve"> </w:t>
      </w:r>
      <w:r>
        <w:t xml:space="preserve">United States Los Angeles</w:t>
      </w:r>
      <w:r>
        <w:t xml:space="preserve"> </w:t>
      </w:r>
      <w:r>
        <w:t xml:space="preserve">metropolitan area. Our Business Consultant will provide comprehensive strategic guidance spanning operational efficiency, market entry planning, workforce optimization, and financial restructuring over a projected twelve-month engagement period.</w:t>
      </w:r>
    </w:p>
    <w:p>
      <w:pPr>
        <w:pStyle w:val="BodyText"/>
      </w:pPr>
      <w:r>
        <w:t xml:space="preserve">The Business Consultant will conduct an in-depth diagnostic assessment of the client's current operational infrastructure, identify critical bottlenecks, and develop actionable recommendations aligned with the specific opportunities and challenges present in the Los Angeles business ecosystem. This includes analysis of local labor markets, municipal and state regulatory requirements applicable to the United States Los Angeles jurisdiction, and competitive positioning within the broader Southern California technology corridor.</w:t>
      </w:r>
    </w:p>
    <w:bookmarkEnd w:id="22"/>
    <w:bookmarkStart w:id="23" w:name="detailed-pricing-breakdown"/>
    <w:p>
      <w:pPr>
        <w:pStyle w:val="Heading2"/>
      </w:pPr>
      <w:r>
        <w:t xml:space="preserve">3. Detailed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Subtotal</w:t>
            </w:r>
          </w:p>
        </w:tc>
      </w:tr>
      <w:tr>
        <w:tc>
          <w:tcPr/>
          <w:p>
            <w:pPr>
              <w:pStyle w:val="Compact"/>
              <w:jc w:val="left"/>
            </w:pPr>
            <w:r>
              <w:t xml:space="preserve">Initial Diagnostic Assessment &amp; Operational Audit</w:t>
            </w:r>
          </w:p>
        </w:tc>
        <w:tc>
          <w:tcPr/>
          <w:p>
            <w:pPr>
              <w:pStyle w:val="Compact"/>
              <w:jc w:val="left"/>
            </w:pPr>
            <w:r>
              <w:t xml:space="preserve">3 weeks</w:t>
            </w:r>
          </w:p>
        </w:tc>
        <w:tc>
          <w:tcPr/>
          <w:p>
            <w:pPr>
              <w:pStyle w:val="Compact"/>
              <w:jc w:val="left"/>
            </w:pPr>
            <w:r>
              <w:t xml:space="preserve">$285/hr</w:t>
            </w:r>
          </w:p>
        </w:tc>
        <w:tc>
          <w:tcPr/>
          <w:p>
            <w:pPr>
              <w:pStyle w:val="Compact"/>
              <w:jc w:val="left"/>
            </w:pPr>
            <w:r>
              <w:t xml:space="preserve">$13,680.00</w:t>
            </w:r>
          </w:p>
        </w:tc>
      </w:tr>
      <w:tr>
        <w:tc>
          <w:tcPr/>
          <w:p>
            <w:pPr>
              <w:pStyle w:val="Compact"/>
              <w:jc w:val="left"/>
            </w:pPr>
            <w:r>
              <w:t xml:space="preserve">Strategic Business Plan Development</w:t>
            </w:r>
          </w:p>
        </w:tc>
        <w:tc>
          <w:tcPr/>
          <w:p>
            <w:pPr>
              <w:pStyle w:val="Compact"/>
              <w:jc w:val="left"/>
            </w:pPr>
            <w:r>
              <w:t xml:space="preserve">6 weeks</w:t>
            </w:r>
          </w:p>
        </w:tc>
        <w:tc>
          <w:tcPr/>
          <w:p>
            <w:pPr>
              <w:pStyle w:val="Compact"/>
              <w:jc w:val="left"/>
            </w:pPr>
            <w:r>
              <w:t xml:space="preserve">$285/hr</w:t>
            </w:r>
          </w:p>
        </w:tc>
        <w:tc>
          <w:tcPr/>
          <w:p>
            <w:pPr>
              <w:pStyle w:val="Compact"/>
              <w:jc w:val="left"/>
            </w:pPr>
            <w:r>
              <w:t xml:space="preserve">$55,440.00</w:t>
            </w:r>
          </w:p>
        </w:tc>
      </w:tr>
      <w:tr>
        <w:tc>
          <w:tcPr/>
          <w:p>
            <w:pPr>
              <w:pStyle w:val="Compact"/>
              <w:jc w:val="left"/>
            </w:pPr>
            <w:r>
              <w:t xml:space="preserve">Market Expansion Analysis (Los Angeles &amp; Southern California)</w:t>
            </w:r>
          </w:p>
        </w:tc>
        <w:tc>
          <w:tcPr/>
          <w:p>
            <w:pPr>
              <w:pStyle w:val="Compact"/>
              <w:jc w:val="left"/>
            </w:pPr>
            <w:r>
              <w:t xml:space="preserve">4 weeks</w:t>
            </w:r>
          </w:p>
        </w:tc>
        <w:tc>
          <w:tcPr/>
          <w:p>
            <w:pPr>
              <w:pStyle w:val="Compact"/>
              <w:jc w:val="left"/>
            </w:pPr>
            <w:r>
              <w:t xml:space="preserve">$285/hr</w:t>
            </w:r>
          </w:p>
        </w:tc>
        <w:tc>
          <w:tcPr/>
          <w:p>
            <w:pPr>
              <w:pStyle w:val="Compact"/>
              <w:jc w:val="left"/>
            </w:pPr>
            <w:r>
              <w:t xml:space="preserve">$36,960.00</w:t>
            </w:r>
          </w:p>
        </w:tc>
      </w:tr>
      <w:tr>
        <w:tc>
          <w:tcPr/>
          <w:p>
            <w:pPr>
              <w:pStyle w:val="Compact"/>
              <w:jc w:val="left"/>
            </w:pPr>
            <w:r>
              <w:t xml:space="preserve">Workforce &amp; Organizational Restructuring Advisory</w:t>
            </w:r>
          </w:p>
        </w:tc>
        <w:tc>
          <w:tcPr/>
          <w:p>
            <w:pPr>
              <w:pStyle w:val="Compact"/>
              <w:jc w:val="left"/>
            </w:pPr>
            <w:r>
              <w:t xml:space="preserve">5 weeks</w:t>
            </w:r>
          </w:p>
        </w:tc>
        <w:tc>
          <w:tcPr/>
          <w:p>
            <w:pPr>
              <w:pStyle w:val="Compact"/>
              <w:jc w:val="left"/>
            </w:pPr>
            <w:r>
              <w:t xml:space="preserve">$285/hr</w:t>
            </w:r>
          </w:p>
        </w:tc>
        <w:tc>
          <w:tcPr/>
          <w:p>
            <w:pPr>
              <w:pStyle w:val="Compact"/>
              <w:jc w:val="left"/>
            </w:pPr>
            <w:r>
              <w:t xml:space="preserve">$45,600.00</w:t>
            </w:r>
          </w:p>
        </w:tc>
      </w:tr>
      <w:tr>
        <w:tc>
          <w:tcPr/>
          <w:p>
            <w:pPr>
              <w:pStyle w:val="Compact"/>
              <w:jc w:val="left"/>
            </w:pPr>
            <w:r>
              <w:t xml:space="preserve">Financial Modeling &amp; Cash Flow Optimization</w:t>
            </w:r>
          </w:p>
        </w:tc>
        <w:tc>
          <w:tcPr/>
          <w:p>
            <w:pPr>
              <w:pStyle w:val="Compact"/>
              <w:jc w:val="left"/>
            </w:pPr>
            <w:r>
              <w:t xml:space="preserve">4 weeks</w:t>
            </w:r>
          </w:p>
        </w:tc>
        <w:tc>
          <w:tcPr/>
          <w:p>
            <w:pPr>
              <w:pStyle w:val="Compact"/>
              <w:jc w:val="left"/>
            </w:pPr>
            <w:r>
              <w:t xml:space="preserve">$285/hr</w:t>
            </w:r>
          </w:p>
        </w:tc>
        <w:tc>
          <w:tcPr/>
          <w:p>
            <w:pPr>
              <w:pStyle w:val="Compact"/>
              <w:jc w:val="left"/>
            </w:pPr>
            <w:r>
              <w:t xml:space="preserve">$36,960.00</w:t>
            </w:r>
          </w:p>
        </w:tc>
      </w:tr>
      <w:tr>
        <w:tc>
          <w:tcPr/>
          <w:p>
            <w:pPr>
              <w:pStyle w:val="Compact"/>
              <w:jc w:val="left"/>
            </w:pPr>
            <w:r>
              <w:t xml:space="preserve">Regulatory Compliance Review (CA State &amp; LA Municipal)</w:t>
            </w:r>
          </w:p>
        </w:tc>
        <w:tc>
          <w:tcPr/>
          <w:p>
            <w:pPr>
              <w:pStyle w:val="Compact"/>
              <w:jc w:val="left"/>
            </w:pPr>
            <w:r>
              <w:t xml:space="preserve">3 weeks</w:t>
            </w:r>
          </w:p>
        </w:tc>
        <w:tc>
          <w:tcPr/>
          <w:p>
            <w:pPr>
              <w:pStyle w:val="Compact"/>
              <w:jc w:val="left"/>
            </w:pPr>
            <w:r>
              <w:t xml:space="preserve">$285/hr</w:t>
            </w:r>
          </w:p>
        </w:tc>
        <w:tc>
          <w:tcPr/>
          <w:p>
            <w:pPr>
              <w:pStyle w:val="Compact"/>
              <w:jc w:val="left"/>
            </w:pPr>
            <w:r>
              <w:t xml:space="preserve">$27,360.00</w:t>
            </w:r>
          </w:p>
        </w:tc>
      </w:tr>
      <w:tr>
        <w:tc>
          <w:tcPr/>
          <w:p>
            <w:pPr>
              <w:pStyle w:val="Compact"/>
              <w:jc w:val="left"/>
            </w:pPr>
            <w:r>
              <w:t xml:space="preserve">Ongoing Advisory &amp; Quarterly Strategy Reviews</w:t>
            </w:r>
          </w:p>
        </w:tc>
        <w:tc>
          <w:tcPr/>
          <w:p>
            <w:pPr>
              <w:pStyle w:val="Compact"/>
              <w:jc w:val="left"/>
            </w:pPr>
            <w:r>
              <w:t xml:space="preserve">12 months</w:t>
            </w:r>
          </w:p>
        </w:tc>
        <w:tc>
          <w:tcPr/>
          <w:p>
            <w:pPr>
              <w:pStyle w:val="Compact"/>
              <w:jc w:val="left"/>
            </w:pPr>
            <w:r>
              <w:t xml:space="preserve">$4,500/mo</w:t>
            </w:r>
          </w:p>
        </w:tc>
        <w:tc>
          <w:tcPr/>
          <w:p>
            <w:pPr>
              <w:pStyle w:val="Compact"/>
              <w:jc w:val="left"/>
            </w:pPr>
            <w:r>
              <w:t xml:space="preserve">$54,000.00</w:t>
            </w:r>
          </w:p>
        </w:tc>
      </w:tr>
      <w:tr>
        <w:tc>
          <w:tcPr/>
          <w:p>
            <w:pPr>
              <w:pStyle w:val="Compact"/>
              <w:jc w:val="left"/>
            </w:pPr>
            <w:r>
              <w:t xml:space="preserve">Travel &amp; On-Site Visits (Los Angeles Metro Area)</w:t>
            </w:r>
          </w:p>
        </w:tc>
        <w:tc>
          <w:tcPr/>
          <w:p>
            <w:pPr>
              <w:pStyle w:val="Compact"/>
              <w:jc w:val="left"/>
            </w:pPr>
            <w:r>
              <w:t xml:space="preserve">As required</w:t>
            </w:r>
          </w:p>
        </w:tc>
        <w:tc>
          <w:tcPr/>
          <w:p>
            <w:pPr>
              <w:pStyle w:val="Compact"/>
              <w:jc w:val="left"/>
            </w:pPr>
            <w:r>
              <w:t xml:space="preserve">Flat fee</w:t>
            </w:r>
          </w:p>
        </w:tc>
        <w:tc>
          <w:tcPr/>
          <w:p>
            <w:pPr>
              <w:pStyle w:val="Compact"/>
              <w:jc w:val="left"/>
            </w:pPr>
            <w:r>
              <w:t xml:space="preserve">$6,500.00</w:t>
            </w:r>
          </w:p>
        </w:tc>
      </w:tr>
      <w:tr>
        <w:tc>
          <w:tcPr>
            <w:gridSpan w:val="3"/>
          </w:tcPr>
          <w:p>
            <w:pPr>
              <w:pStyle w:val="Compact"/>
              <w:jc w:val="left"/>
            </w:pPr>
            <w:r>
              <w:t xml:space="preserve">TOTAL ESTIMATED FEE (Before Applicable Taxes)</w:t>
            </w:r>
          </w:p>
        </w:tc>
        <w:tc>
          <w:tcPr/>
          <w:p>
            <w:pPr>
              <w:pStyle w:val="Compact"/>
              <w:jc w:val="left"/>
            </w:pPr>
            <w:r>
              <w:t xml:space="preserve">$276,500.00</w:t>
            </w:r>
          </w:p>
        </w:tc>
      </w:tr>
      <w:tr>
        <w:tc>
          <w:tcPr>
            <w:gridSpan w:val="3"/>
          </w:tcPr>
          <w:p>
            <w:pPr>
              <w:pStyle w:val="Compact"/>
              <w:jc w:val="left"/>
            </w:pPr>
            <w:r>
              <w:t xml:space="preserve">California State Sales &amp; Use Tax (8.75%)</w:t>
            </w:r>
          </w:p>
        </w:tc>
        <w:tc>
          <w:tcPr/>
          <w:p>
            <w:pPr>
              <w:pStyle w:val="Compact"/>
              <w:jc w:val="left"/>
            </w:pPr>
            <w:r>
              <w:t xml:space="preserve">$24,193.75</w:t>
            </w:r>
          </w:p>
        </w:tc>
      </w:tr>
      <w:tr>
        <w:tc>
          <w:tcPr>
            <w:gridSpan w:val="3"/>
          </w:tcPr>
          <w:p>
            <w:pPr>
              <w:pStyle w:val="Compact"/>
              <w:jc w:val="left"/>
            </w:pPr>
            <w:r>
              <w:t xml:space="preserve">GRAND TOTAL</w:t>
            </w:r>
          </w:p>
        </w:tc>
        <w:tc>
          <w:tcPr/>
          <w:p>
            <w:pPr>
              <w:pStyle w:val="Compact"/>
              <w:jc w:val="left"/>
            </w:pPr>
            <w:r>
              <w:t xml:space="preserve">$300,693.75</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a non-refundable retainer of 25% ($75,173.44) due upon execution of the engagement agreement; 40% ($120,277.50) payable in equal monthly installments during the active consulting phase; and the remaining 35% ($105,242.81) payable upon successful completion and delivery of the final strategic roadmap. All payments are due within thirty (30) days of invoice date. Late payments shall accrue interest at a rate of 1.5% per month, in accordance with California Commercial Code provisions applicable in the United States Los Angeles jurisdiction.</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issuance. After the expiration date, all rates and terms are subject to revision without prior notice.</w:t>
      </w:r>
    </w:p>
    <w:p>
      <w:pPr>
        <w:numPr>
          <w:ilvl w:val="0"/>
          <w:numId w:val="1001"/>
        </w:numPr>
        <w:pStyle w:val="Compact"/>
      </w:pPr>
      <w:r>
        <w:t xml:space="preserve">The Business Consultant reserves the right to adjust the scope of work if material changes in the client's operational environment or the United States Los Angeles regulatory landscape necessitate additional deliverables. Any such changes will be documented in a formal change order signed by both parties.</w:t>
      </w:r>
    </w:p>
    <w:p>
      <w:pPr>
        <w:numPr>
          <w:ilvl w:val="0"/>
          <w:numId w:val="1001"/>
        </w:numPr>
        <w:pStyle w:val="Compact"/>
      </w:pPr>
      <w:r>
        <w:t xml:space="preserve">All intellectual property, strategic documents, financial models, and analytical frameworks produced by the Business Consultant during the engagement shall become the exclusive property of the client upon full payment of all outstanding invoices.</w:t>
      </w:r>
    </w:p>
    <w:p>
      <w:pPr>
        <w:numPr>
          <w:ilvl w:val="0"/>
          <w:numId w:val="1001"/>
        </w:numPr>
        <w:pStyle w:val="Compact"/>
      </w:pPr>
      <w:r>
        <w:t xml:space="preserve">The Business Consultant shall maintain strict confidentiality regarding all proprietary information, trade secrets, and sensitive business data disclosed during the engagement, in compliance with California Civil Code Section 1798.82 and applicable federal privacy regulations.</w:t>
      </w:r>
    </w:p>
    <w:p>
      <w:pPr>
        <w:numPr>
          <w:ilvl w:val="0"/>
          <w:numId w:val="1001"/>
        </w:numPr>
        <w:pStyle w:val="Compact"/>
      </w:pPr>
      <w:r>
        <w:t xml:space="preserve">This engagement is governed by the laws of the State of California. Any disputes arising from this Quotation Estimate or the subsequent engagement agreement shall be resolved through binding arbitration in Los Angeles, California, in accordance with the rules of the American Arbitration Association.</w:t>
      </w:r>
    </w:p>
    <w:p>
      <w:pPr>
        <w:numPr>
          <w:ilvl w:val="0"/>
          <w:numId w:val="1001"/>
        </w:numPr>
        <w:pStyle w:val="Compact"/>
      </w:pPr>
      <w:r>
        <w:t xml:space="preserve">The Business Consultant is an independent contractor and not an employee, partner, or agent of the client. No representation is made that the Business Consultant has authority to bind the client to any third-party agreement.</w:t>
      </w:r>
    </w:p>
    <w:p>
      <w:pPr>
        <w:numPr>
          <w:ilvl w:val="0"/>
          <w:numId w:val="1001"/>
        </w:numPr>
        <w:pStyle w:val="Compact"/>
      </w:pPr>
      <w:r>
        <w:t xml:space="preserve">Force majeure events, including but not limited to natural disasters affecting the Los Angeles metropolitan area, government-mandated closures, or acts of war, shall excuse timely performance obligations for the duration of such events.</w:t>
      </w:r>
    </w:p>
    <w:p>
      <w:pPr>
        <w:numPr>
          <w:ilvl w:val="0"/>
          <w:numId w:val="1001"/>
        </w:numPr>
        <w:pStyle w:val="Compact"/>
      </w:pPr>
      <w:r>
        <w:t xml:space="preserve">This Quotation Estimate does not constitute a guarantee of specific financial outcomes, revenue growth, or market share acquisition. The Business Consultant provides expert advisory services based on industry best practices and data-driven analysis.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conditions, and pricing outlined herein, and authorizes Meridian Strategic Advisory Group to commence the Business Consultant engagement as described. This document, once executed by both parties, shall serve as the foundational pricing and scope reference for the full engagement in the United States Los Angeles market.</w:t>
      </w:r>
    </w:p>
    <w:p>
      <w:pPr>
        <w:pStyle w:val="BodyText"/>
      </w:pPr>
      <w:r>
        <w:rPr>
          <w:bCs/>
          <w:b/>
        </w:rPr>
        <w:t xml:space="preserve">For Meridian Strategic Advisory Group</w:t>
      </w:r>
      <w:r>
        <w:br/>
      </w:r>
      <w:r>
        <w:t xml:space="preserve">David R. Whitfield, Principal Business Consultant</w:t>
      </w:r>
      <w:r>
        <w:br/>
      </w:r>
      <w:r>
        <w:t xml:space="preserve">Date: ______________________</w:t>
      </w:r>
    </w:p>
    <w:p>
      <w:pPr>
        <w:pStyle w:val="BodyText"/>
      </w:pPr>
      <w:r>
        <w:rPr>
          <w:bCs/>
          <w:b/>
        </w:rPr>
        <w:t xml:space="preserve">For Pacific Crest Holdings, LLC</w:t>
      </w:r>
      <w:r>
        <w:br/>
      </w:r>
      <w:r>
        <w:t xml:space="preserve">Rebecca Tanaka, Chief Operating Officer</w:t>
      </w:r>
      <w:r>
        <w:br/>
      </w:r>
      <w:r>
        <w:t xml:space="preserve">Date: ______________________</w:t>
      </w:r>
    </w:p>
    <w:p>
      <w:pPr>
        <w:pStyle w:val="BodyText"/>
      </w:pPr>
      <w:r>
        <w:t xml:space="preserve">Meridian Strategic Advisory Group | 5900 Wilshire Blvd, Suite 2100, Los Angeles, CA 90036, United States</w:t>
      </w:r>
    </w:p>
    <w:p>
      <w:pPr>
        <w:pStyle w:val="BodyText"/>
      </w:pPr>
      <w:r>
        <w:t xml:space="preserve">Quotation Estimate No. QTE-LA-2025-0487 | This document is confidential and intended solely for the named recipient.</w:t>
      </w:r>
    </w:p>
    <w:p>
      <w:pPr>
        <w:pStyle w:val="BodyText"/>
      </w:pPr>
      <w:r>
        <w:t xml:space="preserve">Page 1 of 1 | Generated: June 15,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United States Los Angeles</dc:title>
  <dc:creator/>
  <dc:language>en</dc:language>
  <cp:keywords/>
  <dcterms:created xsi:type="dcterms:W3CDTF">2026-10-10T05:54:18Z</dcterms:created>
  <dcterms:modified xsi:type="dcterms:W3CDTF">2026-10-10T05:54:18Z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