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Business Consultant Services — United States Miami</w:t>
      </w:r>
    </w:p>
    <w:bookmarkEnd w:id="20"/>
    <w:bookmarkStart w:id="21" w:name="prepared-by"/>
    <w:p>
      <w:pPr>
        <w:pStyle w:val="Heading3"/>
      </w:pPr>
      <w:r>
        <w:t xml:space="preserve">Prepared By:</w:t>
      </w:r>
    </w:p>
    <w:p>
      <w:pPr>
        <w:pStyle w:val="FirstParagraph"/>
      </w:pPr>
      <w:r>
        <w:rPr>
          <w:bCs/>
          <w:b/>
        </w:rPr>
        <w:t xml:space="preserve">Strategic Advisory Partners LLC</w:t>
      </w:r>
      <w:r>
        <w:br/>
      </w:r>
      <w:r>
        <w:t xml:space="preserve">300 Biscayne Boulevard, Suite 2100</w:t>
      </w:r>
      <w:r>
        <w:br/>
      </w:r>
      <w:r>
        <w:t xml:space="preserve">Miami, Florida 33132</w:t>
      </w:r>
      <w:r>
        <w:br/>
      </w:r>
      <w:r>
        <w:t xml:space="preserve">United States</w:t>
      </w:r>
      <w:r>
        <w:br/>
      </w:r>
      <w:r>
        <w:t xml:space="preserve">Phone: (305) 555-0142</w:t>
      </w:r>
      <w:r>
        <w:br/>
      </w:r>
      <w:r>
        <w:t xml:space="preserve">Email: proposals@sap-miami.com</w:t>
      </w:r>
      <w:r>
        <w:br/>
      </w:r>
      <w:r>
        <w:t xml:space="preserve">EIN: 82-4471903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Street Address]</w:t>
      </w:r>
      <w:r>
        <w:br/>
      </w:r>
      <w:r>
        <w:t xml:space="preserve">Miami, Florida [ZIP Code]</w:t>
      </w:r>
      <w:r>
        <w:br/>
      </w:r>
      <w:r>
        <w:t xml:space="preserve">United States</w:t>
      </w:r>
      <w:r>
        <w:br/>
      </w:r>
      <w:r>
        <w:rPr>
          <w:bCs/>
          <w:b/>
        </w:rPr>
        <w:t xml:space="preserve">Contact:</w:t>
      </w:r>
      <w:r>
        <w:t xml:space="preserve"> </w:t>
      </w:r>
      <w:r>
        <w:t xml:space="preserve">[Client Contact Name]</w:t>
      </w:r>
      <w:r>
        <w:br/>
      </w:r>
      <w:r>
        <w:rPr>
          <w:bCs/>
          <w:b/>
        </w:rPr>
        <w:t xml:space="preserve">Email:</w:t>
      </w:r>
      <w:r>
        <w:t xml:space="preserve"> </w:t>
      </w:r>
      <w:r>
        <w:t xml:space="preserve">[client@email.com]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QTE-2025-MIA-0047</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Service Location:</w:t>
            </w:r>
          </w:p>
        </w:tc>
        <w:tc>
          <w:tcPr/>
          <w:p>
            <w:pPr>
              <w:pStyle w:val="Compact"/>
              <w:jc w:val="left"/>
            </w:pPr>
            <w:r>
              <w:t xml:space="preserve">United States Miami, FL</w:t>
            </w:r>
          </w:p>
        </w:tc>
      </w:tr>
      <w:tr>
        <w:tc>
          <w:tcPr/>
          <w:p>
            <w:pPr>
              <w:pStyle w:val="Compact"/>
              <w:jc w:val="left"/>
            </w:pPr>
            <w:r>
              <w:t xml:space="preserve">Project Duration:</w:t>
            </w:r>
          </w:p>
        </w:tc>
        <w:tc>
          <w:tcPr/>
          <w:p>
            <w:pPr>
              <w:pStyle w:val="Compact"/>
              <w:jc w:val="left"/>
            </w:pPr>
            <w:r>
              <w:t xml:space="preserve">12 Weeks</w:t>
            </w:r>
          </w:p>
        </w:tc>
        <w:tc>
          <w:tcPr/>
          <w:p>
            <w:pPr>
              <w:pStyle w:val="Compact"/>
              <w:jc w:val="left"/>
            </w:pPr>
            <w:r>
              <w:t xml:space="preserve">Currency:</w:t>
            </w:r>
          </w:p>
        </w:tc>
        <w:tc>
          <w:tcPr/>
          <w:p>
            <w:pPr>
              <w:pStyle w:val="Compact"/>
              <w:jc w:val="left"/>
            </w:pPr>
            <w:r>
              <w:t xml:space="preserve">USD (United States Dollar)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Strategic Advisory Partners LLC to provide a comprehensive, itemized financial projection for the engagement of a senior</w:t>
      </w:r>
      <w:r>
        <w:t xml:space="preserve"> </w:t>
      </w:r>
      <w:r>
        <w:t xml:space="preserve">Business Consultant</w:t>
      </w:r>
      <w:r>
        <w:t xml:space="preserve"> </w:t>
      </w:r>
      <w:r>
        <w:t xml:space="preserve">to deliver strategic advisory services to the client organization. All services described herein will be executed within the metropolitan area of</w:t>
      </w:r>
      <w:r>
        <w:t xml:space="preserve"> </w:t>
      </w:r>
      <w:r>
        <w:t xml:space="preserve">United States Miami</w:t>
      </w:r>
      <w:r>
        <w:t xml:space="preserve">, Florida, and its surrounding business districts including Brickell, Downtown Miami, and the Miami International Business District. This document serves as a binding financial reference for both parties upon mutual acceptance and does not constitute a final invoice until the engagement is formally initiated.</w:t>
      </w:r>
    </w:p>
    <w:bookmarkEnd w:id="23"/>
    <w:bookmarkStart w:id="24" w:name="scope-of-business-consultant-services"/>
    <w:p>
      <w:pPr>
        <w:pStyle w:val="Heading2"/>
      </w:pPr>
      <w:r>
        <w:t xml:space="preserve">2. Scope of Business Consultant Services</w:t>
      </w:r>
    </w:p>
    <w:p>
      <w:pPr>
        <w:pStyle w:val="FirstParagraph"/>
      </w:pPr>
      <w:r>
        <w:t xml:space="preserve">The</w:t>
      </w:r>
      <w:r>
        <w:t xml:space="preserve"> </w:t>
      </w:r>
      <w:r>
        <w:t xml:space="preserve">Business Consultant</w:t>
      </w:r>
      <w:r>
        <w:t xml:space="preserve"> </w:t>
      </w:r>
      <w:r>
        <w:t xml:space="preserve">engaged under this Quotation Estimate will provide the following specialized services tailored to the operational and strategic needs of the client within the competitive landscape of United States Miami: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Estimated Cost (USD)</w:t>
            </w:r>
          </w:p>
        </w:tc>
      </w:tr>
      <w:tr>
        <w:tc>
          <w:tcPr/>
          <w:p>
            <w:pPr>
              <w:pStyle w:val="Compact"/>
              <w:jc w:val="left"/>
            </w:pPr>
            <w:r>
              <w:t xml:space="preserve">1.1</w:t>
            </w:r>
          </w:p>
        </w:tc>
        <w:tc>
          <w:tcPr/>
          <w:p>
            <w:pPr>
              <w:pStyle w:val="Compact"/>
              <w:jc w:val="left"/>
            </w:pPr>
            <w:r>
              <w:t xml:space="preserve">Initial Strategic Assessment &amp; Diagnostic Audit of current operations, revenue streams, and market positioning in the United States Miami business environment</w:t>
            </w:r>
          </w:p>
        </w:tc>
        <w:tc>
          <w:tcPr/>
          <w:p>
            <w:pPr>
              <w:pStyle w:val="Compact"/>
              <w:jc w:val="left"/>
            </w:pPr>
            <w:r>
              <w:t xml:space="preserve">2 Weeks</w:t>
            </w:r>
          </w:p>
        </w:tc>
        <w:tc>
          <w:tcPr/>
          <w:p>
            <w:pPr>
              <w:pStyle w:val="Compact"/>
              <w:jc w:val="left"/>
            </w:pPr>
            <w:r>
              <w:t xml:space="preserve">$12,500.00</w:t>
            </w:r>
          </w:p>
        </w:tc>
      </w:tr>
      <w:tr>
        <w:tc>
          <w:tcPr/>
          <w:p>
            <w:pPr>
              <w:pStyle w:val="Compact"/>
              <w:jc w:val="left"/>
            </w:pPr>
            <w:r>
              <w:t xml:space="preserve">1.2</w:t>
            </w:r>
          </w:p>
        </w:tc>
        <w:tc>
          <w:tcPr/>
          <w:p>
            <w:pPr>
              <w:pStyle w:val="Compact"/>
              <w:jc w:val="left"/>
            </w:pPr>
            <w:r>
              <w:t xml:space="preserve">Business Process Reengineering &amp; Operational Efficiency Analysis covering supply chain, logistics, and internal workflows</w:t>
            </w:r>
          </w:p>
        </w:tc>
        <w:tc>
          <w:tcPr/>
          <w:p>
            <w:pPr>
              <w:pStyle w:val="Compact"/>
              <w:jc w:val="left"/>
            </w:pPr>
            <w:r>
              <w:t xml:space="preserve">3 Weeks</w:t>
            </w:r>
          </w:p>
        </w:tc>
        <w:tc>
          <w:tcPr/>
          <w:p>
            <w:pPr>
              <w:pStyle w:val="Compact"/>
              <w:jc w:val="left"/>
            </w:pPr>
            <w:r>
              <w:t xml:space="preserve">$18,750.00</w:t>
            </w:r>
          </w:p>
        </w:tc>
      </w:tr>
      <w:tr>
        <w:tc>
          <w:tcPr/>
          <w:p>
            <w:pPr>
              <w:pStyle w:val="Compact"/>
              <w:jc w:val="left"/>
            </w:pPr>
            <w:r>
              <w:t xml:space="preserve">1.3</w:t>
            </w:r>
          </w:p>
        </w:tc>
        <w:tc>
          <w:tcPr/>
          <w:p>
            <w:pPr>
              <w:pStyle w:val="Compact"/>
              <w:jc w:val="left"/>
            </w:pPr>
            <w:r>
              <w:t xml:space="preserve">Market Expansion Strategy Development targeting Latin American trade corridors and domestic growth opportunities from the United States Miami hub</w:t>
            </w:r>
          </w:p>
        </w:tc>
        <w:tc>
          <w:tcPr/>
          <w:p>
            <w:pPr>
              <w:pStyle w:val="Compact"/>
              <w:jc w:val="left"/>
            </w:pPr>
            <w:r>
              <w:t xml:space="preserve">2 Weeks</w:t>
            </w:r>
          </w:p>
        </w:tc>
        <w:tc>
          <w:tcPr/>
          <w:p>
            <w:pPr>
              <w:pStyle w:val="Compact"/>
              <w:jc w:val="left"/>
            </w:pPr>
            <w:r>
              <w:t xml:space="preserve">$14,200.00</w:t>
            </w:r>
          </w:p>
        </w:tc>
      </w:tr>
      <w:tr>
        <w:tc>
          <w:tcPr/>
          <w:p>
            <w:pPr>
              <w:pStyle w:val="Compact"/>
              <w:jc w:val="left"/>
            </w:pPr>
            <w:r>
              <w:t xml:space="preserve">1.4</w:t>
            </w:r>
          </w:p>
        </w:tc>
        <w:tc>
          <w:tcPr/>
          <w:p>
            <w:pPr>
              <w:pStyle w:val="Compact"/>
              <w:jc w:val="left"/>
            </w:pPr>
            <w:r>
              <w:t xml:space="preserve">Financial Modeling, Budget Restructuring &amp; Cash Flow Optimization with quarterly forecasting</w:t>
            </w:r>
          </w:p>
        </w:tc>
        <w:tc>
          <w:tcPr/>
          <w:p>
            <w:pPr>
              <w:pStyle w:val="Compact"/>
              <w:jc w:val="left"/>
            </w:pPr>
            <w:r>
              <w:t xml:space="preserve">2 Weeks</w:t>
            </w:r>
          </w:p>
        </w:tc>
        <w:tc>
          <w:tcPr/>
          <w:p>
            <w:pPr>
              <w:pStyle w:val="Compact"/>
              <w:jc w:val="left"/>
            </w:pPr>
            <w:r>
              <w:t xml:space="preserve">$11,800.00</w:t>
            </w:r>
          </w:p>
        </w:tc>
      </w:tr>
      <w:tr>
        <w:tc>
          <w:tcPr/>
          <w:p>
            <w:pPr>
              <w:pStyle w:val="Compact"/>
              <w:jc w:val="left"/>
            </w:pPr>
            <w:r>
              <w:t xml:space="preserve">1.5</w:t>
            </w:r>
          </w:p>
        </w:tc>
        <w:tc>
          <w:tcPr/>
          <w:p>
            <w:pPr>
              <w:pStyle w:val="Compact"/>
              <w:jc w:val="left"/>
            </w:pPr>
            <w:r>
              <w:t xml:space="preserve">Leadership &amp; Organizational Development Consulting including executive team alignment workshops</w:t>
            </w:r>
          </w:p>
        </w:tc>
        <w:tc>
          <w:tcPr/>
          <w:p>
            <w:pPr>
              <w:pStyle w:val="Compact"/>
              <w:jc w:val="left"/>
            </w:pPr>
            <w:r>
              <w:t xml:space="preserve">2 Weeks</w:t>
            </w:r>
          </w:p>
        </w:tc>
        <w:tc>
          <w:tcPr/>
          <w:p>
            <w:pPr>
              <w:pStyle w:val="Compact"/>
              <w:jc w:val="left"/>
            </w:pPr>
            <w:r>
              <w:t xml:space="preserve">$9,600.00</w:t>
            </w:r>
          </w:p>
        </w:tc>
      </w:tr>
      <w:tr>
        <w:tc>
          <w:tcPr/>
          <w:p>
            <w:pPr>
              <w:pStyle w:val="Compact"/>
              <w:jc w:val="left"/>
            </w:pPr>
            <w:r>
              <w:t xml:space="preserve">1.6</w:t>
            </w:r>
          </w:p>
        </w:tc>
        <w:tc>
          <w:tcPr/>
          <w:p>
            <w:pPr>
              <w:pStyle w:val="Compact"/>
              <w:jc w:val="left"/>
            </w:pPr>
            <w:r>
              <w:t xml:space="preserve">Technology Integration Advisory &amp; Digital Transformation Roadmap for client operations</w:t>
            </w:r>
          </w:p>
        </w:tc>
        <w:tc>
          <w:tcPr/>
          <w:p>
            <w:pPr>
              <w:pStyle w:val="Compact"/>
              <w:jc w:val="left"/>
            </w:pPr>
            <w:r>
              <w:t xml:space="preserve">1 Week</w:t>
            </w:r>
          </w:p>
        </w:tc>
        <w:tc>
          <w:tcPr/>
          <w:p>
            <w:pPr>
              <w:pStyle w:val="Compact"/>
              <w:jc w:val="left"/>
            </w:pPr>
            <w:r>
              <w:t xml:space="preserve">$7,450.00</w:t>
            </w:r>
          </w:p>
        </w:tc>
      </w:tr>
      <w:tr>
        <w:tc>
          <w:tcPr/>
          <w:p>
            <w:pPr>
              <w:pStyle w:val="Compact"/>
              <w:jc w:val="left"/>
            </w:pPr>
            <w:r>
              <w:t xml:space="preserve">1.7</w:t>
            </w:r>
          </w:p>
        </w:tc>
        <w:tc>
          <w:tcPr/>
          <w:p>
            <w:pPr>
              <w:pStyle w:val="Compact"/>
              <w:jc w:val="left"/>
            </w:pPr>
            <w:r>
              <w:t xml:space="preserve">Final Comprehensive Report, Implementation Playbook &amp; 30-Day Post-Engagement Follow-Up</w:t>
            </w:r>
          </w:p>
        </w:tc>
        <w:tc>
          <w:tcPr/>
          <w:p>
            <w:pPr>
              <w:pStyle w:val="Compact"/>
              <w:jc w:val="left"/>
            </w:pPr>
            <w:r>
              <w:t xml:space="preserve">1 Week</w:t>
            </w:r>
          </w:p>
        </w:tc>
        <w:tc>
          <w:tcPr/>
          <w:p>
            <w:pPr>
              <w:pStyle w:val="Compact"/>
              <w:jc w:val="left"/>
            </w:pPr>
            <w:r>
              <w:t xml:space="preserve">$5,700.00</w:t>
            </w:r>
          </w:p>
        </w:tc>
      </w:tr>
      <w:tr>
        <w:tc>
          <w:tcPr>
            <w:gridSpan w:val="3"/>
          </w:tcPr>
          <w:p>
            <w:pPr>
              <w:pStyle w:val="Compact"/>
              <w:jc w:val="left"/>
            </w:pPr>
            <w:r>
              <w:t xml:space="preserve">TOTAL ESTIMATED ENGAGEMENT FEE</w:t>
            </w:r>
          </w:p>
        </w:tc>
        <w:tc>
          <w:tcPr/>
          <w:p>
            <w:pPr>
              <w:pStyle w:val="Compact"/>
              <w:jc w:val="left"/>
            </w:pPr>
            <w:r>
              <w:t xml:space="preserve">$80,000.00</w:t>
            </w:r>
          </w:p>
        </w:tc>
      </w:tr>
    </w:tbl>
    <w:bookmarkEnd w:id="24"/>
    <w:bookmarkStart w:id="25" w:name="additional-costs-expenses"/>
    <w:p>
      <w:pPr>
        <w:pStyle w:val="Heading2"/>
      </w:pPr>
      <w:r>
        <w:t xml:space="preserve">3. Additional Costs &amp; Expenses</w:t>
      </w:r>
    </w:p>
    <w:p>
      <w:pPr>
        <w:pStyle w:val="FirstParagraph"/>
      </w:pPr>
      <w:r>
        <w:t xml:space="preserve">The following additional costs are estimated and will be billed at actuals, subject to prior written approval by the client. These expenses are associated with the</w:t>
      </w:r>
      <w:r>
        <w:t xml:space="preserve"> </w:t>
      </w:r>
      <w:r>
        <w:t xml:space="preserve">Business Consultant</w:t>
      </w:r>
      <w:r>
        <w:t xml:space="preserve">'s on-site presence and travel within the United States Miami area:</w:t>
      </w:r>
    </w:p>
    <w:p>
      <w:pPr>
        <w:numPr>
          <w:ilvl w:val="0"/>
          <w:numId w:val="1001"/>
        </w:numPr>
        <w:pStyle w:val="Compact"/>
      </w:pPr>
      <w:r>
        <w:t xml:space="preserve">Local transportation and mileage within Miami-Dade County: Estimated $1,200.00</w:t>
      </w:r>
    </w:p>
    <w:p>
      <w:pPr>
        <w:numPr>
          <w:ilvl w:val="0"/>
          <w:numId w:val="1001"/>
        </w:numPr>
        <w:pStyle w:val="Compact"/>
      </w:pPr>
      <w:r>
        <w:t xml:space="preserve">Client site access, parking, and facility fees: Estimated $450.00</w:t>
      </w:r>
    </w:p>
    <w:p>
      <w:pPr>
        <w:numPr>
          <w:ilvl w:val="0"/>
          <w:numId w:val="1001"/>
        </w:numPr>
        <w:pStyle w:val="Compact"/>
      </w:pPr>
      <w:r>
        <w:t xml:space="preserve">Third-party data subscriptions and market research tools: Estimated $2,300.00</w:t>
      </w:r>
    </w:p>
    <w:p>
      <w:pPr>
        <w:numPr>
          <w:ilvl w:val="0"/>
          <w:numId w:val="1001"/>
        </w:numPr>
        <w:pStyle w:val="Compact"/>
      </w:pPr>
      <w:r>
        <w:t xml:space="preserve">Printing, binding, and distribution of final deliverables: Estimated $350.00</w:t>
      </w:r>
    </w:p>
    <w:p>
      <w:pPr>
        <w:numPr>
          <w:ilvl w:val="0"/>
          <w:numId w:val="1001"/>
        </w:numPr>
        <w:pStyle w:val="Compact"/>
      </w:pPr>
      <w:r>
        <w:rPr>
          <w:bCs/>
          <w:b/>
        </w:rPr>
        <w:t xml:space="preserve">Estimated Additional Expenses Total: $4,300.00</w:t>
      </w:r>
    </w:p>
    <w:bookmarkEnd w:id="25"/>
    <w:bookmarkStart w:id="26" w:name="payment-schedule"/>
    <w:p>
      <w:pPr>
        <w:pStyle w:val="Heading2"/>
      </w:pPr>
      <w:r>
        <w:t xml:space="preserve">4. Payment Schedule</w:t>
      </w:r>
    </w:p>
    <w:p>
      <w:pPr>
        <w:pStyle w:val="FirstParagraph"/>
      </w:pPr>
      <w:r>
        <w:t xml:space="preserve">Payment for this Quotation Estimate shall be structured as follows, with all payments due within fifteen (15) business days of invoice issuance. Payments shall be made via wire transfer or ACH to the designated account of Strategic Advisory Partners LLC, Miami, Florida:</w:t>
      </w:r>
    </w:p>
    <w:p>
      <w:pPr>
        <w:numPr>
          <w:ilvl w:val="0"/>
          <w:numId w:val="1002"/>
        </w:numPr>
        <w:pStyle w:val="Compact"/>
      </w:pPr>
      <w:r>
        <w:rPr>
          <w:bCs/>
          <w:b/>
        </w:rPr>
        <w:t xml:space="preserve">25% Retainer ($20,000.00)</w:t>
      </w:r>
      <w:r>
        <w:t xml:space="preserve"> </w:t>
      </w:r>
      <w:r>
        <w:t xml:space="preserve">— Due upon execution of the engagement agreement and acceptance of this Quotation Estimate.</w:t>
      </w:r>
    </w:p>
    <w:p>
      <w:pPr>
        <w:numPr>
          <w:ilvl w:val="0"/>
          <w:numId w:val="1002"/>
        </w:numPr>
        <w:pStyle w:val="Compact"/>
      </w:pPr>
      <w:r>
        <w:rPr>
          <w:bCs/>
          <w:b/>
        </w:rPr>
        <w:t xml:space="preserve">25% Milestone Payment ($20,000.00)</w:t>
      </w:r>
      <w:r>
        <w:t xml:space="preserve"> </w:t>
      </w:r>
      <w:r>
        <w:t xml:space="preserve">— Due upon completion of the Strategic Assessment and Business Process Reengineering phases (Week 5).</w:t>
      </w:r>
    </w:p>
    <w:p>
      <w:pPr>
        <w:numPr>
          <w:ilvl w:val="0"/>
          <w:numId w:val="1002"/>
        </w:numPr>
        <w:pStyle w:val="Compact"/>
      </w:pPr>
      <w:r>
        <w:rPr>
          <w:bCs/>
          <w:b/>
        </w:rPr>
        <w:t xml:space="preserve">25% Milestone Payment ($20,000.00)</w:t>
      </w:r>
      <w:r>
        <w:t xml:space="preserve"> </w:t>
      </w:r>
      <w:r>
        <w:t xml:space="preserve">— Due upon completion of Market Expansion Strategy and Financial Modeling phases (Week 9).</w:t>
      </w:r>
    </w:p>
    <w:p>
      <w:pPr>
        <w:numPr>
          <w:ilvl w:val="0"/>
          <w:numId w:val="1002"/>
        </w:numPr>
        <w:pStyle w:val="Compact"/>
      </w:pPr>
      <w:r>
        <w:rPr>
          <w:bCs/>
          <w:b/>
        </w:rPr>
        <w:t xml:space="preserve">25% Final Payment ($20,000.00)</w:t>
      </w:r>
      <w:r>
        <w:t xml:space="preserve"> </w:t>
      </w:r>
      <w:r>
        <w:t xml:space="preserve">— Due upon delivery of the Final Comprehensive Report and completion of the 30-day follow-up period (Week 13).</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issuance. After the expiration date, all rates and availability of the Business Consultant are subject to re-evaluation.</w:t>
      </w:r>
    </w:p>
    <w:p>
      <w:pPr>
        <w:numPr>
          <w:ilvl w:val="0"/>
          <w:numId w:val="1003"/>
        </w:numPr>
        <w:pStyle w:val="Compact"/>
      </w:pPr>
      <w:r>
        <w:t xml:space="preserve">All services will be performed by a qualified, licensed Business Consultant with a minimum of fifteen (15) years of experience in corporate strategy, operations, and market development, specifically familiar with the regulatory and commercial environment of United States Miami, Florida.</w:t>
      </w:r>
    </w:p>
    <w:p>
      <w:pPr>
        <w:numPr>
          <w:ilvl w:val="0"/>
          <w:numId w:val="1003"/>
        </w:numPr>
        <w:pStyle w:val="Compact"/>
      </w:pPr>
      <w:r>
        <w:t xml:space="preserve">The Business Consultant shall maintain full confidentiality of all client proprietary information, trade secrets, and financial data in accordance with Florida state law and the mutual Non-Disclosure Agreement (NDA) executed prior to engagement.</w:t>
      </w:r>
    </w:p>
    <w:p>
      <w:pPr>
        <w:numPr>
          <w:ilvl w:val="0"/>
          <w:numId w:val="1003"/>
        </w:numPr>
        <w:pStyle w:val="Compact"/>
      </w:pPr>
      <w:r>
        <w:t xml:space="preserve">Any scope changes, additional deliverables, or extended timelines beyond the twelve-week period outlined in this Quotation Estimate will require a written change order signed by both parties before work commences.</w:t>
      </w:r>
    </w:p>
    <w:p>
      <w:pPr>
        <w:numPr>
          <w:ilvl w:val="0"/>
          <w:numId w:val="1003"/>
        </w:numPr>
        <w:pStyle w:val="Compact"/>
      </w:pPr>
      <w:r>
        <w:t xml:space="preserve">Taxes: All applicable federal, state (Florida), and local taxes in the United States Miami jurisdiction will be added to the final invoice as required by law. Florida currently imposes no state income tax; however, applicable sales and use taxes on tangible deliverables will be assessed.</w:t>
      </w:r>
    </w:p>
    <w:p>
      <w:pPr>
        <w:numPr>
          <w:ilvl w:val="0"/>
          <w:numId w:val="1003"/>
        </w:numPr>
        <w:pStyle w:val="Compact"/>
      </w:pPr>
      <w:r>
        <w:t xml:space="preserve">Liability: The total liability of Strategic Advisory Partners LLC under this Quotation Estimate shall not exceed the total fees paid by the client for the engagement. Neither party shall be liable for indirect, consequential, or punitive damages.</w:t>
      </w:r>
    </w:p>
    <w:p>
      <w:pPr>
        <w:numPr>
          <w:ilvl w:val="0"/>
          <w:numId w:val="1003"/>
        </w:numPr>
        <w:pStyle w:val="Compact"/>
      </w:pPr>
      <w:r>
        <w:t xml:space="preserve">Governing Law: This Quotation Estimate and any resulting engagement agreement shall be governed by and construed in accordance with the laws of the State of Florida, United States, with jurisdiction in the Circuit Court of Miami-Dade County.</w:t>
      </w:r>
    </w:p>
    <w:p>
      <w:pPr>
        <w:numPr>
          <w:ilvl w:val="0"/>
          <w:numId w:val="1003"/>
        </w:numPr>
        <w:pStyle w:val="Compact"/>
      </w:pPr>
      <w:r>
        <w:t xml:space="preserve">Force Majeure: Neither party shall be held liable for delays or failures in performance resulting from events beyond reasonable control, including but not limited to natural disasters, pandemics, or government-mandated closures affecting the United States Miami area.</w:t>
      </w:r>
    </w:p>
    <w:bookmarkEnd w:id="27"/>
    <w:bookmarkStart w:id="28"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conditions, and financial projections outlined in this Quotation Estimate for Business Consultant services to be delivered in United States Miami. This signature constitutes formal acceptance and authorizes the commencement of the engagement as described herein.</w:t>
      </w:r>
    </w:p>
    <w:p>
      <w:pPr>
        <w:pStyle w:val="BodyText"/>
      </w:pPr>
      <w:r>
        <w:rPr>
          <w:bCs/>
          <w:b/>
        </w:rPr>
        <w:t xml:space="preserve">For Strategic Advisory Partners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Strategic Advisory Partners LLC • 300 Biscayne Boulevard, Suite 2100, Miami, FL 33132, United States</w:t>
      </w:r>
      <w:r>
        <w:br/>
      </w:r>
      <w:r>
        <w:t xml:space="preserve">This Quotation Estimate document is confidential and intended solely for the named recipient. Unauthorized reproduction or distribution is prohibited.</w:t>
      </w:r>
      <w:r>
        <w:br/>
      </w:r>
      <w:r>
        <w:t xml:space="preserve">Document Reference: QTE-2025-MIA-0047 • Generated: June 15,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United States Miami</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