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trategic-vision-consulting-group"/>
    <w:p>
      <w:pPr>
        <w:pStyle w:val="Heading1"/>
      </w:pPr>
      <w:r>
        <w:t xml:space="preserve">STRATEGIC VISION CONSULTING GROUP</w:t>
      </w:r>
    </w:p>
    <w:p>
      <w:pPr>
        <w:pStyle w:val="FirstParagraph"/>
      </w:pPr>
      <w:r>
        <w:t xml:space="preserve">350 Fifth Avenue, Suite 4200, New York, NY 10118</w:t>
      </w:r>
    </w:p>
    <w:p>
      <w:pPr>
        <w:pStyle w:val="BodyText"/>
      </w:pPr>
      <w:r>
        <w:t xml:space="preserve">Phone: (212) 555-0147 | Email: estimates@strategicvisionconsulting.com</w:t>
      </w:r>
    </w:p>
    <w:p>
      <w:pPr>
        <w:pStyle w:val="BodyText"/>
      </w:pPr>
      <w:r>
        <w:t xml:space="preserve">NYC Business License No. 44-2019-8837 | EIN: 84-2019375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New York City</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Meridian Holdings LLC</w:t>
      </w:r>
    </w:p>
    <w:p>
      <w:pPr>
        <w:pStyle w:val="BodyText"/>
      </w:pPr>
      <w:r>
        <w:rPr>
          <w:bCs/>
          <w:b/>
        </w:rPr>
        <w:t xml:space="preserve">Address:</w:t>
      </w:r>
      <w:r>
        <w:t xml:space="preserve"> </w:t>
      </w:r>
      <w:r>
        <w:t xml:space="preserve">200 Park Avenue, 18th Floor, New York, NY 10166</w:t>
      </w:r>
    </w:p>
    <w:p>
      <w:pPr>
        <w:pStyle w:val="BodyText"/>
      </w:pPr>
      <w:r>
        <w:rPr>
          <w:bCs/>
          <w:b/>
        </w:rPr>
        <w:t xml:space="preserve">Contact:</w:t>
      </w:r>
      <w:r>
        <w:t xml:space="preserve"> </w:t>
      </w:r>
      <w:r>
        <w:t xml:space="preserve">Daniel Reeves, Chief Operating Officer</w:t>
      </w:r>
    </w:p>
    <w:p>
      <w:pPr>
        <w:pStyle w:val="BodyText"/>
      </w:pPr>
      <w:r>
        <w:rPr>
          <w:bCs/>
          <w:b/>
        </w:rPr>
        <w:t xml:space="preserve">Email:</w:t>
      </w:r>
      <w:r>
        <w:t xml:space="preserve"> </w:t>
      </w:r>
      <w:r>
        <w:t xml:space="preserve">d.reeves@meridianholdings.com</w:t>
      </w:r>
    </w:p>
    <w:bookmarkEnd w:id="22"/>
    <w:p>
      <w:pPr>
        <w:pStyle w:val="BodyText"/>
      </w:pPr>
      <w:r>
        <w:rPr>
          <w:bCs/>
          <w:b/>
        </w:rPr>
        <w:t xml:space="preserve">Important Notice:</w:t>
      </w:r>
      <w:r>
        <w:t xml:space="preserve"> </w:t>
      </w:r>
      <w:r>
        <w:t xml:space="preserve">This Quotation Estimate is valid for thirty (30) calendar days from the date of issuance. All rates are quoted in United States Dollars (USD) and are subject to the terms and conditions outlined below. This Quotation Estimate is prepared specifically for services to be rendered within the United States New York City metropolitan area.</w:t>
      </w:r>
    </w:p>
    <w:bookmarkStart w:id="23" w:name="X38c04614c6852dc42671939c78d168ce144be86"/>
    <w:p>
      <w:pPr>
        <w:pStyle w:val="Heading2"/>
      </w:pPr>
      <w:r>
        <w:t xml:space="preserve">Scope of Services – Business Consultant Engagement</w:t>
      </w:r>
    </w:p>
    <w:p>
      <w:pPr>
        <w:pStyle w:val="FirstParagraph"/>
      </w:pPr>
      <w:r>
        <w:t xml:space="preserve">Strategic Vision Consulting Group is pleased to present this Quotation Estimate for comprehensive Business Consultant services tailored to the operational and strategic needs of Meridian Holdings LLC. As a licensed and insured Business Consultant operating in the United States New York City market, our firm brings over fifteen years of experience in organizational transformation, market analysis, financial restructuring, and executive leadership development. The following Quotation Estimate outlines the full scope of professional Business Consultant services, associated costs, and deliverables for the proposed engagement period.</w:t>
      </w:r>
    </w:p>
    <w:bookmarkEnd w:id="23"/>
    <w:bookmarkStart w:id="24" w:name="itemized-quotation-estimate-breakdown"/>
    <w:p>
      <w:pPr>
        <w:pStyle w:val="Heading2"/>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Business Planning &amp; Organizational Assessment</w:t>
            </w:r>
          </w:p>
        </w:tc>
        <w:tc>
          <w:tcPr/>
          <w:p>
            <w:pPr>
              <w:pStyle w:val="Compact"/>
              <w:jc w:val="left"/>
            </w:pPr>
            <w:r>
              <w:t xml:space="preserve">4 weeks</w:t>
            </w:r>
          </w:p>
        </w:tc>
        <w:tc>
          <w:tcPr/>
          <w:p>
            <w:pPr>
              <w:pStyle w:val="Compact"/>
              <w:jc w:val="left"/>
            </w:pPr>
            <w:r>
              <w:t xml:space="preserve">$3,500/week</w:t>
            </w:r>
          </w:p>
        </w:tc>
        <w:tc>
          <w:tcPr/>
          <w:p>
            <w:pPr>
              <w:pStyle w:val="Compact"/>
              <w:jc w:val="left"/>
            </w:pPr>
            <w:r>
              <w:t xml:space="preserve">$14,000.00</w:t>
            </w:r>
          </w:p>
        </w:tc>
        <w:tc>
          <w:tcPr/>
          <w:p>
            <w:pPr>
              <w:pStyle w:val="Compact"/>
              <w:jc w:val="left"/>
            </w:pPr>
            <w:r>
              <w:t xml:space="preserve">On-site in NYC</w:t>
            </w:r>
          </w:p>
        </w:tc>
      </w:tr>
      <w:tr>
        <w:tc>
          <w:tcPr/>
          <w:p>
            <w:pPr>
              <w:pStyle w:val="Compact"/>
              <w:jc w:val="left"/>
            </w:pPr>
            <w:r>
              <w:t xml:space="preserve">2</w:t>
            </w:r>
          </w:p>
        </w:tc>
        <w:tc>
          <w:tcPr/>
          <w:p>
            <w:pPr>
              <w:pStyle w:val="Compact"/>
              <w:jc w:val="left"/>
            </w:pPr>
            <w:r>
              <w:t xml:space="preserve">Market Analysis &amp; Competitive Intelligence Report</w:t>
            </w:r>
          </w:p>
        </w:tc>
        <w:tc>
          <w:tcPr/>
          <w:p>
            <w:pPr>
              <w:pStyle w:val="Compact"/>
              <w:jc w:val="left"/>
            </w:pPr>
            <w:r>
              <w:t xml:space="preserve">3 weeks</w:t>
            </w:r>
          </w:p>
        </w:tc>
        <w:tc>
          <w:tcPr/>
          <w:p>
            <w:pPr>
              <w:pStyle w:val="Compact"/>
              <w:jc w:val="left"/>
            </w:pPr>
            <w:r>
              <w:t xml:space="preserve">$2,800/week</w:t>
            </w:r>
          </w:p>
        </w:tc>
        <w:tc>
          <w:tcPr/>
          <w:p>
            <w:pPr>
              <w:pStyle w:val="Compact"/>
              <w:jc w:val="left"/>
            </w:pPr>
            <w:r>
              <w:t xml:space="preserve">$8,400.00</w:t>
            </w:r>
          </w:p>
        </w:tc>
        <w:tc>
          <w:tcPr/>
          <w:p>
            <w:pPr>
              <w:pStyle w:val="Compact"/>
              <w:jc w:val="left"/>
            </w:pPr>
            <w:r>
              <w:t xml:space="preserve">NYC metro focus</w:t>
            </w:r>
          </w:p>
        </w:tc>
      </w:tr>
      <w:tr>
        <w:tc>
          <w:tcPr/>
          <w:p>
            <w:pPr>
              <w:pStyle w:val="Compact"/>
              <w:jc w:val="left"/>
            </w:pPr>
            <w:r>
              <w:t xml:space="preserve">3</w:t>
            </w:r>
          </w:p>
        </w:tc>
        <w:tc>
          <w:tcPr/>
          <w:p>
            <w:pPr>
              <w:pStyle w:val="Compact"/>
              <w:jc w:val="left"/>
            </w:pPr>
            <w:r>
              <w:t xml:space="preserve">Financial Restructuring &amp; Cost Optimization Advisory</w:t>
            </w:r>
          </w:p>
        </w:tc>
        <w:tc>
          <w:tcPr/>
          <w:p>
            <w:pPr>
              <w:pStyle w:val="Compact"/>
              <w:jc w:val="left"/>
            </w:pPr>
            <w:r>
              <w:t xml:space="preserve">5 weeks</w:t>
            </w:r>
          </w:p>
        </w:tc>
        <w:tc>
          <w:tcPr/>
          <w:p>
            <w:pPr>
              <w:pStyle w:val="Compact"/>
              <w:jc w:val="left"/>
            </w:pPr>
            <w:r>
              <w:t xml:space="preserve">$3,200/week</w:t>
            </w:r>
          </w:p>
        </w:tc>
        <w:tc>
          <w:tcPr/>
          <w:p>
            <w:pPr>
              <w:pStyle w:val="Compact"/>
              <w:jc w:val="left"/>
            </w:pPr>
            <w:r>
              <w:t xml:space="preserve">$16,000.00</w:t>
            </w:r>
          </w:p>
        </w:tc>
        <w:tc>
          <w:tcPr/>
          <w:p>
            <w:pPr>
              <w:pStyle w:val="Compact"/>
              <w:jc w:val="left"/>
            </w:pPr>
            <w:r>
              <w:t xml:space="preserve">Includes 2 board presentations</w:t>
            </w:r>
          </w:p>
        </w:tc>
      </w:tr>
      <w:tr>
        <w:tc>
          <w:tcPr/>
          <w:p>
            <w:pPr>
              <w:pStyle w:val="Compact"/>
              <w:jc w:val="left"/>
            </w:pPr>
            <w:r>
              <w:t xml:space="preserve">4</w:t>
            </w:r>
          </w:p>
        </w:tc>
        <w:tc>
          <w:tcPr/>
          <w:p>
            <w:pPr>
              <w:pStyle w:val="Compact"/>
              <w:jc w:val="left"/>
            </w:pPr>
            <w:r>
              <w:t xml:space="preserve">Operational Process Improvement &amp; Workflow Redesign</w:t>
            </w:r>
          </w:p>
        </w:tc>
        <w:tc>
          <w:tcPr/>
          <w:p>
            <w:pPr>
              <w:pStyle w:val="Compact"/>
              <w:jc w:val="left"/>
            </w:pPr>
            <w:r>
              <w:t xml:space="preserve">4 weeks</w:t>
            </w:r>
          </w:p>
        </w:tc>
        <w:tc>
          <w:tcPr/>
          <w:p>
            <w:pPr>
              <w:pStyle w:val="Compact"/>
              <w:jc w:val="left"/>
            </w:pPr>
            <w:r>
              <w:t xml:space="preserve">$3,000/week</w:t>
            </w:r>
          </w:p>
        </w:tc>
        <w:tc>
          <w:tcPr/>
          <w:p>
            <w:pPr>
              <w:pStyle w:val="Compact"/>
              <w:jc w:val="left"/>
            </w:pPr>
            <w:r>
              <w:t xml:space="preserve">$12,000.00</w:t>
            </w:r>
          </w:p>
        </w:tc>
        <w:tc>
          <w:tcPr/>
          <w:p>
            <w:pPr>
              <w:pStyle w:val="Compact"/>
              <w:jc w:val="left"/>
            </w:pPr>
            <w:r>
              <w:t xml:space="preserve">Cross-departmental</w:t>
            </w:r>
          </w:p>
        </w:tc>
      </w:tr>
      <w:tr>
        <w:tc>
          <w:tcPr/>
          <w:p>
            <w:pPr>
              <w:pStyle w:val="Compact"/>
              <w:jc w:val="left"/>
            </w:pPr>
            <w:r>
              <w:t xml:space="preserve">5</w:t>
            </w:r>
          </w:p>
        </w:tc>
        <w:tc>
          <w:tcPr/>
          <w:p>
            <w:pPr>
              <w:pStyle w:val="Compact"/>
              <w:jc w:val="left"/>
            </w:pPr>
            <w:r>
              <w:t xml:space="preserve">Executive Leadership Coaching &amp; Team Development</w:t>
            </w:r>
          </w:p>
        </w:tc>
        <w:tc>
          <w:tcPr/>
          <w:p>
            <w:pPr>
              <w:pStyle w:val="Compact"/>
              <w:jc w:val="left"/>
            </w:pPr>
            <w:r>
              <w:t xml:space="preserve">6 weeks</w:t>
            </w:r>
          </w:p>
        </w:tc>
        <w:tc>
          <w:tcPr/>
          <w:p>
            <w:pPr>
              <w:pStyle w:val="Compact"/>
              <w:jc w:val="left"/>
            </w:pPr>
            <w:r>
              <w:t xml:space="preserve">$2,500/week</w:t>
            </w:r>
          </w:p>
        </w:tc>
        <w:tc>
          <w:tcPr/>
          <w:p>
            <w:pPr>
              <w:pStyle w:val="Compact"/>
              <w:jc w:val="left"/>
            </w:pPr>
            <w:r>
              <w:t xml:space="preserve">$15,000.00</w:t>
            </w:r>
          </w:p>
        </w:tc>
        <w:tc>
          <w:tcPr/>
          <w:p>
            <w:pPr>
              <w:pStyle w:val="Compact"/>
              <w:jc w:val="left"/>
            </w:pPr>
            <w:r>
              <w:t xml:space="preserve">Up to 8 senior leaders</w:t>
            </w:r>
          </w:p>
        </w:tc>
      </w:tr>
      <w:tr>
        <w:tc>
          <w:tcPr/>
          <w:p>
            <w:pPr>
              <w:pStyle w:val="Compact"/>
              <w:jc w:val="left"/>
            </w:pPr>
            <w:r>
              <w:t xml:space="preserve">6</w:t>
            </w:r>
          </w:p>
        </w:tc>
        <w:tc>
          <w:tcPr/>
          <w:p>
            <w:pPr>
              <w:pStyle w:val="Compact"/>
              <w:jc w:val="left"/>
            </w:pPr>
            <w:r>
              <w:t xml:space="preserve">Regulatory Compliance Review (NYC &amp; NY State)</w:t>
            </w:r>
          </w:p>
        </w:tc>
        <w:tc>
          <w:tcPr/>
          <w:p>
            <w:pPr>
              <w:pStyle w:val="Compact"/>
              <w:jc w:val="left"/>
            </w:pPr>
            <w:r>
              <w:t xml:space="preserve">2 weeks</w:t>
            </w:r>
          </w:p>
        </w:tc>
        <w:tc>
          <w:tcPr/>
          <w:p>
            <w:pPr>
              <w:pStyle w:val="Compact"/>
              <w:jc w:val="left"/>
            </w:pPr>
            <w:r>
              <w:t xml:space="preserve">$4,000/week</w:t>
            </w:r>
          </w:p>
        </w:tc>
        <w:tc>
          <w:tcPr/>
          <w:p>
            <w:pPr>
              <w:pStyle w:val="Compact"/>
              <w:jc w:val="left"/>
            </w:pPr>
            <w:r>
              <w:t xml:space="preserve">$8,000.00</w:t>
            </w:r>
          </w:p>
        </w:tc>
        <w:tc>
          <w:tcPr/>
          <w:p>
            <w:pPr>
              <w:pStyle w:val="Compact"/>
              <w:jc w:val="left"/>
            </w:pPr>
            <w:r>
              <w:t xml:space="preserve">NYC-specific regulations</w:t>
            </w:r>
          </w:p>
        </w:tc>
      </w:tr>
      <w:tr>
        <w:tc>
          <w:tcPr/>
          <w:p>
            <w:pPr>
              <w:pStyle w:val="Compact"/>
              <w:jc w:val="left"/>
            </w:pPr>
            <w:r>
              <w:t xml:space="preserve">7</w:t>
            </w:r>
          </w:p>
        </w:tc>
        <w:tc>
          <w:tcPr/>
          <w:p>
            <w:pPr>
              <w:pStyle w:val="Compact"/>
              <w:jc w:val="left"/>
            </w:pPr>
            <w:r>
              <w:t xml:space="preserve">Final Strategic Roadmap &amp; Implementation Plan</w:t>
            </w:r>
          </w:p>
        </w:tc>
        <w:tc>
          <w:tcPr/>
          <w:p>
            <w:pPr>
              <w:pStyle w:val="Compact"/>
              <w:jc w:val="left"/>
            </w:pPr>
            <w:r>
              <w:t xml:space="preserve">2 weeks</w:t>
            </w:r>
          </w:p>
        </w:tc>
        <w:tc>
          <w:tcPr/>
          <w:p>
            <w:pPr>
              <w:pStyle w:val="Compact"/>
              <w:jc w:val="left"/>
            </w:pPr>
            <w:r>
              <w:t xml:space="preserve">$3,500/week</w:t>
            </w:r>
          </w:p>
        </w:tc>
        <w:tc>
          <w:tcPr/>
          <w:p>
            <w:pPr>
              <w:pStyle w:val="Compact"/>
              <w:jc w:val="left"/>
            </w:pPr>
            <w:r>
              <w:t xml:space="preserve">$7,000.00</w:t>
            </w:r>
          </w:p>
        </w:tc>
        <w:tc>
          <w:tcPr/>
          <w:p>
            <w:pPr>
              <w:pStyle w:val="Compact"/>
              <w:jc w:val="left"/>
            </w:pPr>
            <w:r>
              <w:t xml:space="preserve">Deliverable document</w:t>
            </w:r>
          </w:p>
        </w:tc>
      </w:tr>
      <w:tr>
        <w:tc>
          <w:tcPr/>
          <w:p>
            <w:pPr>
              <w:pStyle w:val="Compact"/>
              <w:jc w:val="left"/>
            </w:pPr>
            <w:r>
              <w:t xml:space="preserve">8</w:t>
            </w:r>
          </w:p>
        </w:tc>
        <w:tc>
          <w:tcPr/>
          <w:p>
            <w:pPr>
              <w:pStyle w:val="Compact"/>
              <w:jc w:val="left"/>
            </w:pPr>
            <w:r>
              <w:t xml:space="preserve">Ongoing Advisory Retainer (Post-Engagement)</w:t>
            </w:r>
          </w:p>
        </w:tc>
        <w:tc>
          <w:tcPr/>
          <w:p>
            <w:pPr>
              <w:pStyle w:val="Compact"/>
              <w:jc w:val="left"/>
            </w:pPr>
            <w:r>
              <w:t xml:space="preserve">3 months</w:t>
            </w:r>
          </w:p>
        </w:tc>
        <w:tc>
          <w:tcPr/>
          <w:p>
            <w:pPr>
              <w:pStyle w:val="Compact"/>
              <w:jc w:val="left"/>
            </w:pPr>
            <w:r>
              <w:t xml:space="preserve">$5,000/month</w:t>
            </w:r>
          </w:p>
        </w:tc>
        <w:tc>
          <w:tcPr/>
          <w:p>
            <w:pPr>
              <w:pStyle w:val="Compact"/>
              <w:jc w:val="left"/>
            </w:pPr>
            <w:r>
              <w:t xml:space="preserve">$15,000.00</w:t>
            </w:r>
          </w:p>
        </w:tc>
        <w:tc>
          <w:tcPr/>
          <w:p>
            <w:pPr>
              <w:pStyle w:val="Compact"/>
              <w:jc w:val="left"/>
            </w:pPr>
            <w:r>
              <w:t xml:space="preserve">Monthly check-ins</w:t>
            </w:r>
          </w:p>
        </w:tc>
      </w:tr>
      <w:tr>
        <w:tc>
          <w:tcPr>
            <w:gridSpan w:val="4"/>
          </w:tcPr>
          <w:p>
            <w:pPr>
              <w:pStyle w:val="Compact"/>
              <w:jc w:val="right"/>
            </w:pPr>
            <w:r>
              <w:t xml:space="preserve">Subtotal:</w:t>
            </w:r>
          </w:p>
        </w:tc>
        <w:tc>
          <w:tcPr/>
          <w:p>
            <w:pPr>
              <w:pStyle w:val="Compact"/>
              <w:jc w:val="left"/>
            </w:pPr>
            <w:r>
              <w:t xml:space="preserve">$95,400.00</w:t>
            </w:r>
          </w:p>
        </w:tc>
        <w:tc>
          <w:tcPr/>
          <w:p>
            <w:pPr>
              <w:pStyle w:val="Compact"/>
            </w:pPr>
          </w:p>
        </w:tc>
      </w:tr>
      <w:tr>
        <w:tc>
          <w:tcPr>
            <w:gridSpan w:val="4"/>
          </w:tcPr>
          <w:p>
            <w:pPr>
              <w:pStyle w:val="Compact"/>
              <w:jc w:val="right"/>
            </w:pPr>
            <w:r>
              <w:t xml:space="preserve">Applicable NYC &amp; NY State Sales Tax (8.875%):</w:t>
            </w:r>
          </w:p>
        </w:tc>
        <w:tc>
          <w:tcPr/>
          <w:p>
            <w:pPr>
              <w:pStyle w:val="Compact"/>
              <w:jc w:val="left"/>
            </w:pPr>
            <w:r>
              <w:t xml:space="preserve">$8,466.75</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$103,866.75</w:t>
            </w:r>
          </w:p>
        </w:tc>
        <w:tc>
          <w:tcPr/>
          <w:p>
            <w:pPr>
              <w:pStyle w:val="Compact"/>
            </w:pPr>
          </w:p>
        </w:tc>
      </w:tr>
    </w:tbl>
    <w:bookmarkEnd w:id="24"/>
    <w:bookmarkStart w:id="25" w:name="payment-schedule"/>
    <w:p>
      <w:pPr>
        <w:pStyle w:val="Heading2"/>
      </w:pPr>
      <w:r>
        <w:t xml:space="preserve">Payment Schedule</w:t>
      </w:r>
    </w:p>
    <w:p>
      <w:pPr>
        <w:pStyle w:val="FirstParagraph"/>
      </w:pPr>
      <w:r>
        <w:t xml:space="preserve">This Quotation Estimate for Business Consultant services shall be paid according to the following milestone-based schedule. All payments are due within fifteen (15) business days of invoice issuance. Late payments shall accrue interest at a rate of 1.5% per month, in accordance with New York State commercial law.</w:t>
      </w:r>
    </w:p>
    <w:p>
      <w:pPr>
        <w:numPr>
          <w:ilvl w:val="0"/>
          <w:numId w:val="1001"/>
        </w:numPr>
        <w:pStyle w:val="Compact"/>
      </w:pPr>
      <w:r>
        <w:rPr>
          <w:bCs/>
          <w:b/>
        </w:rPr>
        <w:t xml:space="preserve">Initial Deposit (25%):</w:t>
      </w:r>
      <w:r>
        <w:t xml:space="preserve"> </w:t>
      </w:r>
      <w:r>
        <w:t xml:space="preserve">$25,966.69 – Due upon execution of the service agreement.</w:t>
      </w:r>
    </w:p>
    <w:p>
      <w:pPr>
        <w:numPr>
          <w:ilvl w:val="0"/>
          <w:numId w:val="1001"/>
        </w:numPr>
        <w:pStyle w:val="Compact"/>
      </w:pPr>
      <w:r>
        <w:rPr>
          <w:bCs/>
          <w:b/>
        </w:rPr>
        <w:t xml:space="preserve">Milestone Payment 1 (25%):</w:t>
      </w:r>
      <w:r>
        <w:t xml:space="preserve"> </w:t>
      </w:r>
      <w:r>
        <w:t xml:space="preserve">$25,966.69 – Due upon completion of Strategic Business Planning and Market Analysis phases.</w:t>
      </w:r>
    </w:p>
    <w:p>
      <w:pPr>
        <w:numPr>
          <w:ilvl w:val="0"/>
          <w:numId w:val="1001"/>
        </w:numPr>
        <w:pStyle w:val="Compact"/>
      </w:pPr>
      <w:r>
        <w:rPr>
          <w:bCs/>
          <w:b/>
        </w:rPr>
        <w:t xml:space="preserve">Milestone Payment 2 (25%):</w:t>
      </w:r>
      <w:r>
        <w:t xml:space="preserve"> </w:t>
      </w:r>
      <w:r>
        <w:t xml:space="preserve">$25,966.69 – Due upon completion of Financial Restructuring and Operational Process Improvement phases.</w:t>
      </w:r>
    </w:p>
    <w:p>
      <w:pPr>
        <w:numPr>
          <w:ilvl w:val="0"/>
          <w:numId w:val="1001"/>
        </w:numPr>
        <w:pStyle w:val="Compact"/>
      </w:pPr>
      <w:r>
        <w:rPr>
          <w:bCs/>
          <w:b/>
        </w:rPr>
        <w:t xml:space="preserve">Final Payment (25%):</w:t>
      </w:r>
      <w:r>
        <w:t xml:space="preserve"> </w:t>
      </w:r>
      <w:r>
        <w:t xml:space="preserve">$25,966.68 – Due upon delivery of the Final Strategic Roadmap and commencement of the advisory retainer period.</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a non-binding proposal and does not constitute a contract until both parties execute a formal Service Agreement.</w:t>
      </w:r>
    </w:p>
    <w:p>
      <w:pPr>
        <w:numPr>
          <w:ilvl w:val="0"/>
          <w:numId w:val="1002"/>
        </w:numPr>
        <w:pStyle w:val="Compact"/>
      </w:pPr>
      <w:r>
        <w:t xml:space="preserve">All Business Consultant services shall be performed by qualified professionals licensed to operate in the United States New York City jurisdiction. The Business Consultant of record shall be Mr. Jonathan A. Whitfield, CMC, PMP.</w:t>
      </w:r>
    </w:p>
    <w:p>
      <w:pPr>
        <w:numPr>
          <w:ilvl w:val="0"/>
          <w:numId w:val="1002"/>
        </w:numPr>
        <w:pStyle w:val="Compact"/>
      </w:pPr>
      <w:r>
        <w:t xml:space="preserve">The client agrees to provide reasonable access to facilities, personnel, and documentation necessary for the Business Consultant to perform the outlined services within the United States New York City area.</w:t>
      </w:r>
    </w:p>
    <w:p>
      <w:pPr>
        <w:numPr>
          <w:ilvl w:val="0"/>
          <w:numId w:val="1002"/>
        </w:numPr>
        <w:pStyle w:val="Compact"/>
      </w:pPr>
      <w:r>
        <w:t xml:space="preserve">Any changes to the scope of work beyond the parameters described in this Quotation Estimate shall require a written change order signed by both parties. Additional fees will be assessed at the Business Consultant's standard hourly rate of $450 per hour.</w:t>
      </w:r>
    </w:p>
    <w:p>
      <w:pPr>
        <w:numPr>
          <w:ilvl w:val="0"/>
          <w:numId w:val="1002"/>
        </w:numPr>
        <w:pStyle w:val="Compact"/>
      </w:pPr>
      <w:r>
        <w:t xml:space="preserve">All deliverables, reports, and strategic documents produced by the Business Consultant shall become the exclusive property of the client upon full payment.</w:t>
      </w:r>
    </w:p>
    <w:p>
      <w:pPr>
        <w:numPr>
          <w:ilvl w:val="0"/>
          <w:numId w:val="1002"/>
        </w:numPr>
        <w:pStyle w:val="Compact"/>
      </w:pPr>
      <w:r>
        <w:t xml:space="preserve">Strategic Vision Consulting Group shall maintain professional liability insurance with a minimum coverage of $2,000,000 per occurrence, as required for Business Consultant engagements in the United States New York City.</w:t>
      </w:r>
    </w:p>
    <w:p>
      <w:pPr>
        <w:numPr>
          <w:ilvl w:val="0"/>
          <w:numId w:val="1002"/>
        </w:numPr>
        <w:pStyle w:val="Compact"/>
      </w:pPr>
      <w:r>
        <w:t xml:space="preserve">Confidentiality: The Business Consultant agrees to maintain strict confidentiality regarding all proprietary information, trade secrets, and business data disclosed during the engagement, in compliance with New York State confidentiality statutes.</w:t>
      </w:r>
    </w:p>
    <w:p>
      <w:pPr>
        <w:numPr>
          <w:ilvl w:val="0"/>
          <w:numId w:val="1002"/>
        </w:numPr>
        <w:pStyle w:val="Compact"/>
      </w:pPr>
      <w:r>
        <w:t xml:space="preserve">Termination: Either party may terminate the engagement with thirty (30) days written notice. In such case, the client shall pay for all services rendered up to the termination date as outlined in this Quotation Estimate.</w:t>
      </w:r>
    </w:p>
    <w:p>
      <w:pPr>
        <w:numPr>
          <w:ilvl w:val="0"/>
          <w:numId w:val="1002"/>
        </w:numPr>
        <w:pStyle w:val="Compact"/>
      </w:pPr>
      <w:r>
        <w:t xml:space="preserve">Governing Law: This Quotation Estimate and any resulting agreement shall be governed by the laws of the State of New York, with jurisdiction in the New York County, United States New York City.</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conditions, and pricing outlined herein for the Business Consultant services to be provided in the United States New York City. This signature does not obligate either party until a formal Service Agreement is executed.</w:t>
      </w:r>
    </w:p>
    <w:p>
      <w:pPr>
        <w:pStyle w:val="BodyText"/>
      </w:pPr>
      <w:r>
        <w:rPr>
          <w:bCs/>
          <w:b/>
        </w:rPr>
        <w:t xml:space="preserve">For Strategic Vision Consulting Group</w:t>
      </w:r>
      <w:r>
        <w:br/>
      </w:r>
      <w:r>
        <w:t xml:space="preserve">Jonathan A. Whitfield, CMC, PMP</w:t>
      </w:r>
      <w:r>
        <w:br/>
      </w:r>
      <w:r>
        <w:t xml:space="preserve">Lead Business Consultant</w:t>
      </w:r>
      <w:r>
        <w:br/>
      </w:r>
      <w:r>
        <w:t xml:space="preserve">Date: ______________________</w:t>
      </w:r>
    </w:p>
    <w:p>
      <w:pPr>
        <w:pStyle w:val="BodyText"/>
      </w:pPr>
      <w:r>
        <w:rPr>
          <w:bCs/>
          <w:b/>
        </w:rPr>
        <w:t xml:space="preserve">For Meridian Holdings LLC</w:t>
      </w:r>
      <w:r>
        <w:br/>
      </w:r>
      <w:r>
        <w:t xml:space="preserve">Daniel Reeves, Chief Operating Officer</w:t>
      </w:r>
      <w:r>
        <w:br/>
      </w:r>
      <w:r>
        <w:t xml:space="preserve">Authorized Signatory</w:t>
      </w:r>
      <w:r>
        <w:br/>
      </w:r>
      <w:r>
        <w:t xml:space="preserve">Date: ______________________</w:t>
      </w:r>
    </w:p>
    <w:p>
      <w:pPr>
        <w:pStyle w:val="BodyText"/>
      </w:pPr>
      <w:r>
        <w:t xml:space="preserve">Strategic Vision Consulting Group | 350 Fifth Avenue, Suite 4200, New York, NY 10118 | United States New York City</w:t>
      </w:r>
    </w:p>
    <w:p>
      <w:pPr>
        <w:pStyle w:val="BodyText"/>
      </w:pPr>
      <w:r>
        <w:t xml:space="preserve">Quotation Estimate No. QTE-2025-04871 | This document is valid for 30 days from the date of issue.</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United States New York City</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