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Business Consultant Services — Vietnam Ho Chi Minh City</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QTE-HCM-2025-0472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Vietnam Ho Chi Minh City</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Mekong Strategic Advisory Co., Ltd.</w:t>
      </w:r>
    </w:p>
    <w:p>
      <w:pPr>
        <w:pStyle w:val="BodyText"/>
      </w:pPr>
      <w:r>
        <w:rPr>
          <w:bCs/>
          <w:b/>
        </w:rPr>
        <w:t xml:space="preserve">Address:</w:t>
      </w:r>
      <w:r>
        <w:t xml:space="preserve"> </w:t>
      </w:r>
      <w:r>
        <w:t xml:space="preserve">12th Floor, Bitexco Financial Tower, 2 Hải Triều St., District 1, Vietnam Ho Chi Minh City</w:t>
      </w:r>
    </w:p>
    <w:p>
      <w:pPr>
        <w:pStyle w:val="BodyText"/>
      </w:pPr>
      <w:r>
        <w:rPr>
          <w:bCs/>
          <w:b/>
        </w:rPr>
        <w:t xml:space="preserve">Contact:</w:t>
      </w:r>
      <w:r>
        <w:t xml:space="preserve"> </w:t>
      </w:r>
      <w:r>
        <w:t xml:space="preserve">+84 28 3822 5500</w:t>
      </w:r>
    </w:p>
    <w:p>
      <w:pPr>
        <w:pStyle w:val="BodyText"/>
      </w:pPr>
      <w:r>
        <w:rPr>
          <w:bCs/>
          <w:b/>
        </w:rPr>
        <w:t xml:space="preserve">Email:</w:t>
      </w:r>
      <w:r>
        <w:t xml:space="preserve"> </w:t>
      </w:r>
      <w:r>
        <w:t xml:space="preserve">quotations@mekongstrategic.vn</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Vietnam Ho Chi Minh City</w:t>
      </w:r>
    </w:p>
    <w:p>
      <w:pPr>
        <w:pStyle w:val="BodyText"/>
      </w:pPr>
      <w:r>
        <w:rPr>
          <w:bCs/>
          <w:b/>
        </w:rPr>
        <w:t xml:space="preserve">Attn:</w:t>
      </w:r>
      <w:r>
        <w:t xml:space="preserve"> </w:t>
      </w:r>
      <w:r>
        <w:t xml:space="preserve">[Contact Person], [Title]</w:t>
      </w:r>
    </w:p>
    <w:p>
      <w:pPr>
        <w:pStyle w:val="BodyText"/>
      </w:pPr>
      <w:r>
        <w:rPr>
          <w:bCs/>
          <w:b/>
        </w:rPr>
        <w:t xml:space="preserve">Tax Code (MST):</w:t>
      </w:r>
      <w:r>
        <w:t xml:space="preserve"> </w:t>
      </w:r>
      <w:r>
        <w:t xml:space="preserve">[Tax Identification Number]</w:t>
      </w:r>
    </w:p>
    <w:bookmarkEnd w:id="23"/>
    <w:bookmarkStart w:id="24" w:name="engagement-summary"/>
    <w:p>
      <w:pPr>
        <w:pStyle w:val="Heading3"/>
      </w:pPr>
      <w:r>
        <w:t xml:space="preserve">Engagement Summary</w:t>
      </w:r>
    </w:p>
    <w:p>
      <w:pPr>
        <w:pStyle w:val="FirstParagraph"/>
      </w:pPr>
      <w:r>
        <w:rPr>
          <w:bCs/>
          <w:b/>
        </w:rPr>
        <w:t xml:space="preserve">Service Type:</w:t>
      </w:r>
      <w:r>
        <w:t xml:space="preserve"> </w:t>
      </w:r>
      <w:r>
        <w:t xml:space="preserve">Business Consultant Engagement</w:t>
      </w:r>
    </w:p>
    <w:p>
      <w:pPr>
        <w:pStyle w:val="BodyText"/>
      </w:pPr>
      <w:r>
        <w:rPr>
          <w:bCs/>
          <w:b/>
        </w:rPr>
        <w:t xml:space="preserve">Duration:</w:t>
      </w:r>
      <w:r>
        <w:t xml:space="preserve"> </w:t>
      </w:r>
      <w:r>
        <w:t xml:space="preserve">12 weeks (3 months)</w:t>
      </w:r>
    </w:p>
    <w:p>
      <w:pPr>
        <w:pStyle w:val="BodyText"/>
      </w:pPr>
      <w:r>
        <w:rPr>
          <w:bCs/>
          <w:b/>
        </w:rPr>
        <w:t xml:space="preserve">Start Date:</w:t>
      </w:r>
      <w:r>
        <w:t xml:space="preserve"> </w:t>
      </w:r>
      <w:r>
        <w:t xml:space="preserve">01 August 2025</w:t>
      </w:r>
    </w:p>
    <w:p>
      <w:pPr>
        <w:pStyle w:val="BodyText"/>
      </w:pPr>
      <w:r>
        <w:rPr>
          <w:bCs/>
          <w:b/>
        </w:rPr>
        <w:t xml:space="preserve">End Date:</w:t>
      </w:r>
      <w:r>
        <w:t xml:space="preserve"> </w:t>
      </w:r>
      <w:r>
        <w:t xml:space="preserve">31 October 2025</w:t>
      </w:r>
    </w:p>
    <w:bookmarkEnd w:id="24"/>
    <w:p>
      <w:pPr>
        <w:pStyle w:val="BodyText"/>
      </w:pPr>
      <w:r>
        <w:t xml:space="preserve">Scope of Business Consultant Services</w:t>
      </w:r>
    </w:p>
    <w:p>
      <w:pPr>
        <w:pStyle w:val="BodyText"/>
      </w:pPr>
      <w:r>
        <w:t xml:space="preserve">This</w:t>
      </w:r>
      <w:r>
        <w:t xml:space="preserve"> </w:t>
      </w:r>
      <w:r>
        <w:t xml:space="preserve">Quotation Estimate</w:t>
      </w:r>
      <w:r>
        <w:t xml:space="preserve"> </w:t>
      </w:r>
      <w:r>
        <w:t xml:space="preserve">outlines the comprehensive scope of professional</w:t>
      </w:r>
      <w:r>
        <w:t xml:space="preserve"> </w:t>
      </w:r>
      <w:r>
        <w:t xml:space="preserve">Business Consultant</w:t>
      </w:r>
      <w:r>
        <w:t xml:space="preserve"> </w:t>
      </w:r>
      <w:r>
        <w:t xml:space="preserve">services to be delivered to the client within the dynamic commercial environment of</w:t>
      </w:r>
      <w:r>
        <w:t xml:space="preserve"> </w:t>
      </w:r>
      <w:r>
        <w:t xml:space="preserve">Vietnam Ho Chi Minh City</w:t>
      </w:r>
      <w:r>
        <w:t xml:space="preserve">. The engagement is designed to address strategic growth, operational efficiency, market positioning, and regulatory compliance challenges specific to businesses operating in one of Southeast Asia's most competitive and rapidly evolving metropolitan markets.</w:t>
      </w:r>
    </w:p>
    <w:p>
      <w:pPr>
        <w:pStyle w:val="BodyText"/>
      </w:pPr>
      <w:r>
        <w:t xml:space="preserve">The designated</w:t>
      </w:r>
      <w:r>
        <w:t xml:space="preserve"> </w:t>
      </w:r>
      <w:r>
        <w:t xml:space="preserve">Business Consultant</w:t>
      </w:r>
      <w:r>
        <w:t xml:space="preserve"> </w:t>
      </w:r>
      <w:r>
        <w:t xml:space="preserve">will conduct an in-depth assessment of the client's current operations, identify areas of improvement, and implement actionable strategies tailored to the unique economic landscape of</w:t>
      </w:r>
      <w:r>
        <w:t xml:space="preserve"> </w:t>
      </w:r>
      <w:r>
        <w:t xml:space="preserve">Vietnam Ho Chi Minh City</w:t>
      </w:r>
      <w:r>
        <w:t xml:space="preserve">, including its diverse industrial zones, free trade corridors, and growing digital economy sector.</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Business Consultant Service Item</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t xml:space="preserve">Initial Business Assessment &amp; Diagnostic Review in Vietnam Ho Chi Minh City</w:t>
            </w:r>
          </w:p>
        </w:tc>
        <w:tc>
          <w:tcPr/>
          <w:p>
            <w:pPr>
              <w:pStyle w:val="Compact"/>
              <w:jc w:val="left"/>
            </w:pPr>
            <w:r>
              <w:t xml:space="preserve">2 weeks</w:t>
            </w:r>
          </w:p>
        </w:tc>
        <w:tc>
          <w:tcPr/>
          <w:p>
            <w:pPr>
              <w:pStyle w:val="Compact"/>
              <w:jc w:val="left"/>
            </w:pPr>
            <w:r>
              <w:t xml:space="preserve">45,000,000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Strategic Business Planning &amp; Market Entry Advisory</w:t>
            </w:r>
          </w:p>
        </w:tc>
        <w:tc>
          <w:tcPr/>
          <w:p>
            <w:pPr>
              <w:pStyle w:val="Compact"/>
              <w:jc w:val="left"/>
            </w:pPr>
            <w:r>
              <w:t xml:space="preserve">3 weeks</w:t>
            </w:r>
          </w:p>
        </w:tc>
        <w:tc>
          <w:tcPr/>
          <w:p>
            <w:pPr>
              <w:pStyle w:val="Compact"/>
              <w:jc w:val="left"/>
            </w:pPr>
            <w:r>
              <w:t xml:space="preserve">55,000,000</w:t>
            </w:r>
          </w:p>
        </w:tc>
        <w:tc>
          <w:tcPr/>
          <w:p>
            <w:pPr>
              <w:pStyle w:val="Compact"/>
              <w:jc w:val="left"/>
            </w:pPr>
            <w:r>
              <w:t xml:space="preserve">165,000,000</w:t>
            </w:r>
          </w:p>
        </w:tc>
      </w:tr>
      <w:tr>
        <w:tc>
          <w:tcPr/>
          <w:p>
            <w:pPr>
              <w:pStyle w:val="Compact"/>
              <w:jc w:val="left"/>
            </w:pPr>
            <w:r>
              <w:t xml:space="preserve">3</w:t>
            </w:r>
          </w:p>
        </w:tc>
        <w:tc>
          <w:tcPr/>
          <w:p>
            <w:pPr>
              <w:pStyle w:val="Compact"/>
              <w:jc w:val="left"/>
            </w:pPr>
            <w:r>
              <w:t xml:space="preserve">Operational Process Optimization &amp; Workflow Redesign</w:t>
            </w:r>
          </w:p>
        </w:tc>
        <w:tc>
          <w:tcPr/>
          <w:p>
            <w:pPr>
              <w:pStyle w:val="Compact"/>
              <w:jc w:val="left"/>
            </w:pPr>
            <w:r>
              <w:t xml:space="preserve">3 weeks</w:t>
            </w:r>
          </w:p>
        </w:tc>
        <w:tc>
          <w:tcPr/>
          <w:p>
            <w:pPr>
              <w:pStyle w:val="Compact"/>
              <w:jc w:val="left"/>
            </w:pPr>
            <w:r>
              <w:t xml:space="preserve">50,000,000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Regulatory Compliance &amp; Legal Framework Advisory (Vietnam Ho Chi Minh City specific)</w:t>
            </w:r>
          </w:p>
        </w:tc>
        <w:tc>
          <w:tcPr/>
          <w:p>
            <w:pPr>
              <w:pStyle w:val="Compact"/>
              <w:jc w:val="left"/>
            </w:pPr>
            <w:r>
              <w:t xml:space="preserve">2 weeks</w:t>
            </w:r>
          </w:p>
        </w:tc>
        <w:tc>
          <w:tcPr/>
          <w:p>
            <w:pPr>
              <w:pStyle w:val="Compact"/>
              <w:jc w:val="left"/>
            </w:pPr>
            <w:r>
              <w:t xml:space="preserve">40,000,000</w:t>
            </w:r>
          </w:p>
        </w:tc>
        <w:tc>
          <w:tcPr/>
          <w:p>
            <w:pPr>
              <w:pStyle w:val="Compact"/>
              <w:jc w:val="left"/>
            </w:pPr>
            <w:r>
              <w:t xml:space="preserve">80,000,000</w:t>
            </w:r>
          </w:p>
        </w:tc>
      </w:tr>
      <w:tr>
        <w:tc>
          <w:tcPr/>
          <w:p>
            <w:pPr>
              <w:pStyle w:val="Compact"/>
              <w:jc w:val="left"/>
            </w:pPr>
            <w:r>
              <w:t xml:space="preserve">5</w:t>
            </w:r>
          </w:p>
        </w:tc>
        <w:tc>
          <w:tcPr/>
          <w:p>
            <w:pPr>
              <w:pStyle w:val="Compact"/>
              <w:jc w:val="left"/>
            </w:pPr>
            <w:r>
              <w:t xml:space="preserve">Financial Modeling, Budgeting &amp; Investment Feasibility Analysis</w:t>
            </w:r>
          </w:p>
        </w:tc>
        <w:tc>
          <w:tcPr/>
          <w:p>
            <w:pPr>
              <w:pStyle w:val="Compact"/>
              <w:jc w:val="left"/>
            </w:pPr>
            <w:r>
              <w:t xml:space="preserve">1 week</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Team Training &amp; Capacity Building Workshops (on-site, HCMC)</w:t>
            </w:r>
          </w:p>
        </w:tc>
        <w:tc>
          <w:tcPr/>
          <w:p>
            <w:pPr>
              <w:pStyle w:val="Compact"/>
              <w:jc w:val="left"/>
            </w:pPr>
            <w:r>
              <w:t xml:space="preserve">1 week</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Final Reporting, Recommendations &amp; 30-Day Post-Engagement Support</w:t>
            </w:r>
          </w:p>
        </w:tc>
        <w:tc>
          <w:tcPr/>
          <w:p>
            <w:pPr>
              <w:pStyle w:val="Compact"/>
              <w:jc w:val="left"/>
            </w:pPr>
            <w:r>
              <w:t xml:space="preserve">1 week</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8</w:t>
            </w:r>
          </w:p>
        </w:tc>
        <w:tc>
          <w:tcPr/>
          <w:p>
            <w:pPr>
              <w:pStyle w:val="Compact"/>
              <w:jc w:val="left"/>
            </w:pPr>
            <w:r>
              <w:t xml:space="preserve">Travel, Accommodation &amp; Local Logistics within Vietnam Ho Chi Minh City</w:t>
            </w:r>
          </w:p>
        </w:tc>
        <w:tc>
          <w:tcPr/>
          <w:p>
            <w:pPr>
              <w:pStyle w:val="Compact"/>
              <w:jc w:val="left"/>
            </w:pPr>
            <w:r>
              <w:t xml:space="preserve">12 weeks</w:t>
            </w:r>
          </w:p>
        </w:tc>
        <w:tc>
          <w:tcPr/>
          <w:p>
            <w:pPr>
              <w:pStyle w:val="Compact"/>
              <w:jc w:val="left"/>
            </w:pPr>
            <w:r>
              <w:t xml:space="preserve">8,000,000</w:t>
            </w:r>
          </w:p>
        </w:tc>
        <w:tc>
          <w:tcPr/>
          <w:p>
            <w:pPr>
              <w:pStyle w:val="Compact"/>
              <w:jc w:val="left"/>
            </w:pPr>
            <w:r>
              <w:t xml:space="preserve">96,000,000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 (VND)</w:t>
            </w:r>
          </w:p>
        </w:tc>
        <w:tc>
          <w:tcPr/>
          <w:p>
            <w:pPr>
              <w:pStyle w:val="Compact"/>
              <w:jc w:val="left"/>
            </w:pPr>
            <w:r>
              <w:t xml:space="preserve">706,000,000</w:t>
            </w:r>
          </w:p>
        </w:tc>
      </w:tr>
      <w:tr>
        <w:tc>
          <w:tcPr>
            <w:gridSpan w:val="4"/>
          </w:tcPr>
          <w:p>
            <w:pPr>
              <w:pStyle w:val="Compact"/>
              <w:jc w:val="left"/>
            </w:pPr>
            <w:r>
              <w:rPr>
                <w:bCs/>
                <w:b/>
              </w:rPr>
              <w:t xml:space="preserve">VAT (10% per Vietnam Tax Law)</w:t>
            </w:r>
          </w:p>
        </w:tc>
        <w:tc>
          <w:tcPr/>
          <w:p>
            <w:pPr>
              <w:pStyle w:val="Compact"/>
              <w:jc w:val="left"/>
            </w:pPr>
            <w:r>
              <w:t xml:space="preserve">70,600,000</w:t>
            </w:r>
          </w:p>
        </w:tc>
      </w:tr>
      <w:tr>
        <w:tc>
          <w:tcPr>
            <w:gridSpan w:val="4"/>
          </w:tcPr>
          <w:p>
            <w:pPr>
              <w:pStyle w:val="Compact"/>
              <w:jc w:val="left"/>
            </w:pPr>
            <w:r>
              <w:rPr>
                <w:bCs/>
                <w:b/>
              </w:rPr>
              <w:t xml:space="preserve">TOTAL QUOTATION ESTIMATE (VND)</w:t>
            </w:r>
          </w:p>
        </w:tc>
        <w:tc>
          <w:tcPr/>
          <w:p>
            <w:pPr>
              <w:pStyle w:val="Compact"/>
              <w:jc w:val="left"/>
            </w:pPr>
            <w:r>
              <w:t xml:space="preserve">776,600,000</w:t>
            </w:r>
          </w:p>
        </w:tc>
      </w:tr>
      <w:tr>
        <w:tc>
          <w:tcPr>
            <w:gridSpan w:val="4"/>
          </w:tcPr>
          <w:p>
            <w:pPr>
              <w:pStyle w:val="Compact"/>
              <w:jc w:val="left"/>
            </w:pPr>
            <w:r>
              <w:rPr>
                <w:iCs/>
                <w:i/>
              </w:rPr>
              <w:t xml:space="preserve">Approximate USD Equivalent (at 25,500 VND/USD)</w:t>
            </w:r>
          </w:p>
        </w:tc>
        <w:tc>
          <w:tcPr/>
          <w:p>
            <w:pPr>
              <w:pStyle w:val="Compact"/>
              <w:jc w:val="left"/>
            </w:pPr>
            <w:r>
              <w:rPr>
                <w:iCs/>
                <w:i/>
              </w:rPr>
              <w:t xml:space="preserve">~30,455 USD</w:t>
            </w:r>
          </w:p>
        </w:tc>
      </w:tr>
    </w:tbl>
    <w:p>
      <w:pPr>
        <w:pStyle w:val="BodyText"/>
      </w:pPr>
      <w:r>
        <w:rPr>
          <w:bCs/>
          <w:b/>
        </w:rPr>
        <w:t xml:space="preserve">Note:</w:t>
      </w:r>
      <w:r>
        <w:t xml:space="preserve"> </w:t>
      </w:r>
      <w:r>
        <w:t xml:space="preserve">This Quotation Estimate is valid for 30 calendar days from the date of issue. All pricing is quoted in Vietnamese Dong (VND) and is subject to revision should the scope of Business Consultant services be materially altered. The final engagement will be governed by a separate Master Services Agreement executed in Vietnam Ho Chi Minh City.</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(VND)</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30%</w:t>
            </w:r>
          </w:p>
        </w:tc>
        <w:tc>
          <w:tcPr/>
          <w:p>
            <w:pPr>
              <w:pStyle w:val="Compact"/>
              <w:jc w:val="left"/>
            </w:pPr>
            <w:r>
              <w:t xml:space="preserve">232,980,000</w:t>
            </w:r>
          </w:p>
        </w:tc>
        <w:tc>
          <w:tcPr/>
          <w:p>
            <w:pPr>
              <w:pStyle w:val="Compact"/>
              <w:jc w:val="left"/>
            </w:pPr>
            <w:r>
              <w:t xml:space="preserve">Upon execution</w:t>
            </w:r>
          </w:p>
        </w:tc>
      </w:tr>
      <w:tr>
        <w:tc>
          <w:tcPr/>
          <w:p>
            <w:pPr>
              <w:pStyle w:val="Compact"/>
              <w:jc w:val="left"/>
            </w:pPr>
            <w:r>
              <w:t xml:space="preserve">Completion of Strategic Planning Phase</w:t>
            </w:r>
          </w:p>
        </w:tc>
        <w:tc>
          <w:tcPr/>
          <w:p>
            <w:pPr>
              <w:pStyle w:val="Compact"/>
              <w:jc w:val="left"/>
            </w:pPr>
            <w:r>
              <w:t xml:space="preserve">40%</w:t>
            </w:r>
          </w:p>
        </w:tc>
        <w:tc>
          <w:tcPr/>
          <w:p>
            <w:pPr>
              <w:pStyle w:val="Compact"/>
              <w:jc w:val="left"/>
            </w:pPr>
            <w:r>
              <w:t xml:space="preserve">310,640,000</w:t>
            </w:r>
          </w:p>
        </w:tc>
        <w:tc>
          <w:tcPr/>
          <w:p>
            <w:pPr>
              <w:pStyle w:val="Compact"/>
              <w:jc w:val="left"/>
            </w:pPr>
            <w:r>
              <w:t xml:space="preserve">Week 6</w:t>
            </w:r>
          </w:p>
        </w:tc>
      </w:tr>
      <w:tr>
        <w:tc>
          <w:tcPr/>
          <w:p>
            <w:pPr>
              <w:pStyle w:val="Compact"/>
              <w:jc w:val="left"/>
            </w:pPr>
            <w:r>
              <w:t xml:space="preserve">Final Delivery &amp; Post-Engagement Support</w:t>
            </w:r>
          </w:p>
        </w:tc>
        <w:tc>
          <w:tcPr/>
          <w:p>
            <w:pPr>
              <w:pStyle w:val="Compact"/>
              <w:jc w:val="left"/>
            </w:pPr>
            <w:r>
              <w:t xml:space="preserve">30%</w:t>
            </w:r>
          </w:p>
        </w:tc>
        <w:tc>
          <w:tcPr/>
          <w:p>
            <w:pPr>
              <w:pStyle w:val="Compact"/>
              <w:jc w:val="left"/>
            </w:pPr>
            <w:r>
              <w:t xml:space="preserve">232,980,000</w:t>
            </w:r>
          </w:p>
        </w:tc>
        <w:tc>
          <w:tcPr/>
          <w:p>
            <w:pPr>
              <w:pStyle w:val="Compact"/>
              <w:jc w:val="left"/>
            </w:pPr>
            <w:r>
              <w:t xml:space="preserve">Week 12</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constitutes a formal offer for</w:t>
      </w:r>
      <w:r>
        <w:t xml:space="preserve"> </w:t>
      </w:r>
      <w:r>
        <w:t xml:space="preserve">Business Consultant</w:t>
      </w:r>
      <w:r>
        <w:t xml:space="preserve"> </w:t>
      </w:r>
      <w:r>
        <w:t xml:space="preserve">services and does not constitute a binding contract until countersigned by both parties.</w:t>
      </w:r>
    </w:p>
    <w:p>
      <w:pPr>
        <w:numPr>
          <w:ilvl w:val="0"/>
          <w:numId w:val="1001"/>
        </w:numPr>
        <w:pStyle w:val="Compact"/>
      </w:pPr>
      <w:r>
        <w:t xml:space="preserve">All services shall be performed in</w:t>
      </w:r>
      <w:r>
        <w:t xml:space="preserve"> </w:t>
      </w:r>
      <w:r>
        <w:t xml:space="preserve">Vietnam Ho Chi Minh City</w:t>
      </w:r>
      <w:r>
        <w:t xml:space="preserve"> </w:t>
      </w:r>
      <w:r>
        <w:t xml:space="preserve">unless otherwise agreed in writing. The Business Consultant shall comply with all applicable laws and regulations of the Socialist Republic of Vietnam.</w:t>
      </w:r>
    </w:p>
    <w:p>
      <w:pPr>
        <w:numPr>
          <w:ilvl w:val="0"/>
          <w:numId w:val="1001"/>
        </w:numPr>
        <w:pStyle w:val="Compact"/>
      </w:pPr>
      <w:r>
        <w:t xml:space="preserve">The Business Consultant shall maintain strict confidentiality regarding all proprietary information, trade secrets, and business data disclosed during the engagement in Vietnam Ho Chi Minh City.</w:t>
      </w:r>
    </w:p>
    <w:p>
      <w:pPr>
        <w:numPr>
          <w:ilvl w:val="0"/>
          <w:numId w:val="1001"/>
        </w:numPr>
        <w:pStyle w:val="Compact"/>
      </w:pPr>
      <w:r>
        <w:t xml:space="preserve">Any changes to the scope of work must be documented via a formal Change Order and approved by both parties before additional work commences.</w:t>
      </w:r>
    </w:p>
    <w:p>
      <w:pPr>
        <w:numPr>
          <w:ilvl w:val="0"/>
          <w:numId w:val="1001"/>
        </w:numPr>
        <w:pStyle w:val="Compact"/>
      </w:pPr>
      <w:r>
        <w:t xml:space="preserve">Payment terms are Net 15 days from the date of invoice issuance. Late payments shall accrue interest at 1.5% per month as per Vietnamese commercial practice.</w:t>
      </w:r>
    </w:p>
    <w:p>
      <w:pPr>
        <w:numPr>
          <w:ilvl w:val="0"/>
          <w:numId w:val="1001"/>
        </w:numPr>
        <w:pStyle w:val="Compact"/>
      </w:pPr>
      <w:r>
        <w:t xml:space="preserve">This Quotation Estimate is non-transferable and is issued exclusively for the named client entity registered in Vietnam Ho Chi Minh City.</w:t>
      </w:r>
    </w:p>
    <w:p>
      <w:pPr>
        <w:numPr>
          <w:ilvl w:val="0"/>
          <w:numId w:val="1001"/>
        </w:numPr>
        <w:pStyle w:val="Compact"/>
      </w:pPr>
      <w:r>
        <w:t xml:space="preserve">Intellectual property developed specifically for the client during the Business Consultant engagement shall be transferred to the client upon full payment.</w:t>
      </w:r>
    </w:p>
    <w:p>
      <w:pPr>
        <w:numPr>
          <w:ilvl w:val="0"/>
          <w:numId w:val="1001"/>
        </w:numPr>
        <w:pStyle w:val="Compact"/>
      </w:pPr>
      <w:r>
        <w:t xml:space="preserve">Disputes arising from this engagement shall be resolved through arbitration under the Vietnam International Arbitration Centre (VIAC) in Ho Chi Minh City.</w:t>
      </w:r>
    </w:p>
    <w:p>
      <w:pPr>
        <w:pStyle w:val="FirstParagraph"/>
      </w:pPr>
      <w:r>
        <w:t xml:space="preserve">Acceptance &amp; Authorization</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Business Consultant</w:t>
      </w:r>
      <w:r>
        <w:t xml:space="preserve"> </w:t>
      </w:r>
      <w:r>
        <w:t xml:space="preserve">engagement to be conducted in</w:t>
      </w:r>
      <w:r>
        <w:t xml:space="preserve"> </w:t>
      </w:r>
      <w:r>
        <w:t xml:space="preserve">Vietnam Ho Chi Minh City</w:t>
      </w:r>
      <w:r>
        <w:t xml:space="preserve">.</w:t>
      </w:r>
    </w:p>
    <w:p>
      <w:pPr>
        <w:pStyle w:val="BodyText"/>
      </w:pPr>
      <w:r>
        <w:t xml:space="preserve">For Mekong Strategic Advisory Co., Ltd. (Business Consultant)</w:t>
      </w:r>
    </w:p>
    <w:p>
      <w:pPr>
        <w:pStyle w:val="BodyText"/>
      </w:pPr>
      <w:r>
        <w:t xml:space="preserve">Name: ___________________________</w:t>
      </w:r>
    </w:p>
    <w:p>
      <w:pPr>
        <w:pStyle w:val="BodyText"/>
      </w:pPr>
      <w:r>
        <w:t xml:space="preserve">Title: Lead Business Consultant</w:t>
      </w:r>
    </w:p>
    <w:p>
      <w:pPr>
        <w:pStyle w:val="BodyText"/>
      </w:pPr>
      <w:r>
        <w:t xml:space="preserve">Signature: ___________________________</w:t>
      </w:r>
    </w:p>
    <w:p>
      <w:pPr>
        <w:pStyle w:val="BodyText"/>
      </w:pPr>
      <w:r>
        <w:t xml:space="preserve">Date: ___________________________</w:t>
      </w:r>
    </w:p>
    <w:p>
      <w:pPr>
        <w:pStyle w:val="BodyText"/>
      </w:pPr>
      <w: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Mekong Strategic Advisory Co., Ltd. — Business Consultant Services — Vietnam Ho Chi Minh City</w:t>
      </w:r>
    </w:p>
    <w:p>
      <w:pPr>
        <w:pStyle w:val="BodyText"/>
      </w:pPr>
      <w:r>
        <w:t xml:space="preserve">Quotation Estimate No. QTE-HCM-2025-0472 | Page 1 of 1</w:t>
      </w:r>
    </w:p>
    <w:p>
      <w:pPr>
        <w:pStyle w:val="BodyText"/>
      </w:pPr>
      <w:r>
        <w:t xml:space="preserve">This document is generated electronically and is valid without a physical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Vietnam Ho Chi Minh City</dc:title>
  <dc:creator/>
  <dc:language>en</dc:language>
  <cp:keywords/>
  <dcterms:created xsi:type="dcterms:W3CDTF">2026-10-10T07:25:03Z</dcterms:created>
  <dcterms:modified xsi:type="dcterms:W3CDTF">2026-10-10T07:25:03Z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