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1" w:name="quotation-estimate"/>
    <w:p>
      <w:pPr>
        <w:pStyle w:val="Heading1"/>
      </w:pPr>
      <w:r>
        <w:t xml:space="preserve">QUOTATION ESTIMATE</w:t>
      </w:r>
    </w:p>
    <w:bookmarkStart w:id="20" w:name="carpenter-services-woodwork-solutions"/>
    <w:p>
      <w:pPr>
        <w:pStyle w:val="Heading2"/>
      </w:pPr>
      <w:r>
        <w:t xml:space="preserve">Carpenter Services &amp; Woodwork Solutions</w:t>
      </w:r>
    </w:p>
    <w:p>
      <w:pPr>
        <w:pStyle w:val="FirstParagraph"/>
      </w:pPr>
      <w:r>
        <w:t xml:space="preserve">Serving the Greater Algiers Region, Algeria</w:t>
      </w:r>
    </w:p>
    <w:bookmarkEnd w:id="20"/>
    <w:bookmarkEnd w:id="21"/>
    <w:bookmarkStart w:id="22" w:name="prepared-by"/>
    <w:p>
      <w:pPr>
        <w:pStyle w:val="Heading3"/>
      </w:pPr>
      <w:r>
        <w:t xml:space="preserve">Prepared By</w:t>
      </w:r>
    </w:p>
    <w:p>
      <w:pPr>
        <w:pStyle w:val="FirstParagraph"/>
      </w:pPr>
      <w:r>
        <w:rPr>
          <w:bCs/>
          <w:b/>
        </w:rPr>
        <w:t xml:space="preserve">Atelier Benali Woodworks</w:t>
      </w:r>
    </w:p>
    <w:p>
      <w:pPr>
        <w:pStyle w:val="BodyText"/>
      </w:pPr>
      <w:r>
        <w:t xml:space="preserve">14, Rue des Frères Bouadou</w:t>
      </w:r>
    </w:p>
    <w:p>
      <w:pPr>
        <w:pStyle w:val="BodyText"/>
      </w:pPr>
      <w:r>
        <w:t xml:space="preserve">Hydra, Algiers 16000</w:t>
      </w:r>
    </w:p>
    <w:p>
      <w:pPr>
        <w:pStyle w:val="BodyText"/>
      </w:pPr>
      <w:r>
        <w:t xml:space="preserve">Algeria</w:t>
      </w:r>
    </w:p>
    <w:p>
      <w:pPr>
        <w:pStyle w:val="BodyText"/>
      </w:pPr>
      <w:r>
        <w:t xml:space="preserve">Tel: +213 (0) 23 45 67 89</w:t>
      </w:r>
    </w:p>
    <w:p>
      <w:pPr>
        <w:pStyle w:val="BodyText"/>
      </w:pPr>
      <w:r>
        <w:t xml:space="preserve">Email: contact@atelierbenali.dz</w:t>
      </w:r>
    </w:p>
    <w:p>
      <w:pPr>
        <w:pStyle w:val="BodyText"/>
      </w:pPr>
      <w:r>
        <w:t xml:space="preserve">RC: 16/00-1234567 B 2019</w:t>
      </w:r>
    </w:p>
    <w:bookmarkEnd w:id="22"/>
    <w:bookmarkStart w:id="23" w:name="prepared-for"/>
    <w:p>
      <w:pPr>
        <w:pStyle w:val="Heading3"/>
      </w:pPr>
      <w:r>
        <w:t xml:space="preserve">Prepared For</w:t>
      </w:r>
    </w:p>
    <w:p>
      <w:pPr>
        <w:pStyle w:val="FirstParagraph"/>
      </w:pPr>
      <w:r>
        <w:rPr>
          <w:bCs/>
          <w:b/>
        </w:rPr>
        <w:t xml:space="preserve">Mr. Karim Haddad</w:t>
      </w:r>
    </w:p>
    <w:p>
      <w:pPr>
        <w:pStyle w:val="BodyText"/>
      </w:pPr>
      <w:r>
        <w:t xml:space="preserve">27, Boulevard Zighout Youcef</w:t>
      </w:r>
    </w:p>
    <w:p>
      <w:pPr>
        <w:pStyle w:val="BodyText"/>
      </w:pPr>
      <w:r>
        <w:t xml:space="preserve">Bab El Oued, Algiers 13000</w:t>
      </w:r>
    </w:p>
    <w:p>
      <w:pPr>
        <w:pStyle w:val="BodyText"/>
      </w:pPr>
      <w:r>
        <w:t xml:space="preserve">Algeria</w:t>
      </w:r>
    </w:p>
    <w:p>
      <w:pPr>
        <w:pStyle w:val="BodyText"/>
      </w:pPr>
      <w:r>
        <w:t xml:space="preserve">Tel: +213 (0) 550 12 34 56</w:t>
      </w:r>
    </w:p>
    <w:p>
      <w:pPr>
        <w:pStyle w:val="BodyText"/>
      </w:pPr>
      <w:r>
        <w:t xml:space="preserve">Email: k.haddad@email.dz</w:t>
      </w:r>
    </w:p>
    <w:bookmarkEnd w:id="23"/>
    <w:p>
      <w:pPr>
        <w:pStyle w:val="BodyText"/>
      </w:pPr>
      <w:r>
        <w:t xml:space="preserve">Quotation Estimate No.:</w:t>
      </w:r>
      <w:r>
        <w:t xml:space="preserve"> </w:t>
      </w:r>
      <w:r>
        <w:t xml:space="preserve">QE-2025-0347</w:t>
      </w:r>
    </w:p>
    <w:p>
      <w:pPr>
        <w:pStyle w:val="BodyText"/>
      </w:pPr>
      <w:r>
        <w:t xml:space="preserve">Date of Issue:</w:t>
      </w:r>
      <w:r>
        <w:t xml:space="preserve"> </w:t>
      </w:r>
      <w:r>
        <w:t xml:space="preserve">15 June 2025</w:t>
      </w:r>
    </w:p>
    <w:p>
      <w:pPr>
        <w:pStyle w:val="BodyText"/>
      </w:pPr>
      <w:r>
        <w:t xml:space="preserve">Valid Until:</w:t>
      </w:r>
      <w:r>
        <w:t xml:space="preserve"> </w:t>
      </w:r>
      <w:r>
        <w:t xml:space="preserve">15 July 2025 (30 days)</w:t>
      </w:r>
    </w:p>
    <w:p>
      <w:pPr>
        <w:pStyle w:val="BodyText"/>
      </w:pPr>
      <w:r>
        <w:t xml:space="preserve">Project Location:</w:t>
      </w:r>
      <w:r>
        <w:t xml:space="preserve"> </w:t>
      </w:r>
      <w:r>
        <w:t xml:space="preserve">Residential Property, Bab El Oued, Algiers, Algeria</w:t>
      </w:r>
    </w:p>
    <w:p>
      <w:pPr>
        <w:pStyle w:val="BodyText"/>
      </w:pPr>
      <w:r>
        <w:t xml:space="preserve">Service Category:</w:t>
      </w:r>
      <w:r>
        <w:t xml:space="preserve"> </w:t>
      </w:r>
      <w:r>
        <w:t xml:space="preserve">Carpenter / Custom Woodwork &amp; Interior Finishing</w:t>
      </w:r>
    </w:p>
    <w:bookmarkStart w:id="24" w:name="scope-of-work-carpenter-services"/>
    <w:p>
      <w:pPr>
        <w:pStyle w:val="Heading2"/>
      </w:pPr>
      <w:r>
        <w:t xml:space="preserve">1. Scope of Work – Carpenter Services</w:t>
      </w:r>
    </w:p>
    <w:p>
      <w:pPr>
        <w:pStyle w:val="FirstParagraph"/>
      </w:pPr>
      <w:r>
        <w:t xml:space="preserve">This</w:t>
      </w:r>
      <w:r>
        <w:t xml:space="preserve"> </w:t>
      </w:r>
      <w:r>
        <w:t xml:space="preserve">Quotation Estimate</w:t>
      </w:r>
      <w:r>
        <w:t xml:space="preserve"> </w:t>
      </w:r>
      <w:r>
        <w:t xml:space="preserve">is issued by Atelier Benali Woodworks, a licensed and experienced</w:t>
      </w:r>
      <w:r>
        <w:t xml:space="preserve"> </w:t>
      </w:r>
      <w:r>
        <w:t xml:space="preserve">Carpenter</w:t>
      </w:r>
      <w:r>
        <w:t xml:space="preserve"> </w:t>
      </w:r>
      <w:r>
        <w:t xml:space="preserve">workshop based in</w:t>
      </w:r>
      <w:r>
        <w:t xml:space="preserve"> </w:t>
      </w:r>
      <w:r>
        <w:t xml:space="preserve">Algeria Algiers</w:t>
      </w:r>
      <w:r>
        <w:t xml:space="preserve">, in response to the client's request for comprehensive carpentry and woodwork services for a residential property located in the Bab El Oued district of Algiers. The scope of work encompasses the design, fabrication, installation, and finishing of custom wooden elements as detailed below. All work will be carried out in strict compliance with Algerian building regulations and the professional standards expected of a qualified</w:t>
      </w:r>
      <w:r>
        <w:t xml:space="preserve"> </w:t>
      </w:r>
      <w:r>
        <w:t xml:space="preserve">Carpenter</w:t>
      </w:r>
      <w:r>
        <w:t xml:space="preserve"> </w:t>
      </w:r>
      <w:r>
        <w:t xml:space="preserve">operating within the Algiers metropolitan area.</w:t>
      </w:r>
    </w:p>
    <w:bookmarkEnd w:id="24"/>
    <w:bookmarkStart w:id="25" w:name="itemized-breakdown-of-costs"/>
    <w:p>
      <w:pPr>
        <w:pStyle w:val="Heading2"/>
      </w:pPr>
      <w:r>
        <w:t xml:space="preserve">2. Itemized Breakdown of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Carpenter Work</w:t>
            </w:r>
          </w:p>
        </w:tc>
        <w:tc>
          <w:tcPr/>
          <w:p>
            <w:pPr>
              <w:pStyle w:val="Compact"/>
              <w:jc w:val="left"/>
            </w:pPr>
            <w:r>
              <w:t xml:space="preserve">Quantity</w:t>
            </w:r>
          </w:p>
        </w:tc>
        <w:tc>
          <w:tcPr/>
          <w:p>
            <w:pPr>
              <w:pStyle w:val="Compact"/>
              <w:jc w:val="left"/>
            </w:pPr>
            <w:r>
              <w:t xml:space="preserve">Unit (DZD)</w:t>
            </w:r>
          </w:p>
        </w:tc>
        <w:tc>
          <w:tcPr/>
          <w:p>
            <w:pPr>
              <w:pStyle w:val="Compact"/>
              <w:jc w:val="left"/>
            </w:pPr>
            <w:r>
              <w:t xml:space="preserve">Total (DZD)</w:t>
            </w:r>
          </w:p>
        </w:tc>
        <w:tc>
          <w:tcPr/>
          <w:p>
            <w:pPr>
              <w:pStyle w:val="Compact"/>
              <w:jc w:val="left"/>
            </w:pPr>
            <w:r>
              <w:t xml:space="preserve">Remarks</w:t>
            </w:r>
          </w:p>
        </w:tc>
      </w:tr>
      <w:tr>
        <w:tc>
          <w:tcPr/>
          <w:p>
            <w:pPr>
              <w:pStyle w:val="Compact"/>
              <w:jc w:val="left"/>
            </w:pPr>
            <w:r>
              <w:t xml:space="preserve">01</w:t>
            </w:r>
          </w:p>
        </w:tc>
        <w:tc>
          <w:tcPr/>
          <w:p>
            <w:pPr>
              <w:pStyle w:val="Compact"/>
              <w:jc w:val="left"/>
            </w:pPr>
            <w:r>
              <w:t xml:space="preserve">Custom-built oak kitchen cabinets (upper and lower units) including soft-close hinges and pull-out drawers</w:t>
            </w:r>
          </w:p>
        </w:tc>
        <w:tc>
          <w:tcPr/>
          <w:p>
            <w:pPr>
              <w:pStyle w:val="Compact"/>
              <w:jc w:val="left"/>
            </w:pPr>
            <w:r>
              <w:t xml:space="preserve">1 set</w:t>
            </w:r>
          </w:p>
        </w:tc>
        <w:tc>
          <w:tcPr/>
          <w:p>
            <w:pPr>
              <w:pStyle w:val="Compact"/>
              <w:jc w:val="left"/>
            </w:pPr>
            <w:r>
              <w:t xml:space="preserve">285,000</w:t>
            </w:r>
          </w:p>
        </w:tc>
        <w:tc>
          <w:tcPr/>
          <w:p>
            <w:pPr>
              <w:pStyle w:val="Compact"/>
              <w:jc w:val="left"/>
            </w:pPr>
            <w:r>
              <w:t xml:space="preserve">285,000</w:t>
            </w:r>
          </w:p>
        </w:tc>
        <w:tc>
          <w:tcPr/>
          <w:p>
            <w:pPr>
              <w:pStyle w:val="Compact"/>
              <w:jc w:val="left"/>
            </w:pPr>
            <w:r>
              <w:t xml:space="preserve">Includes design consultation in Algiers</w:t>
            </w:r>
          </w:p>
        </w:tc>
      </w:tr>
      <w:tr>
        <w:tc>
          <w:tcPr/>
          <w:p>
            <w:pPr>
              <w:pStyle w:val="Compact"/>
              <w:jc w:val="left"/>
            </w:pPr>
            <w:r>
              <w:t xml:space="preserve">02</w:t>
            </w:r>
          </w:p>
        </w:tc>
        <w:tc>
          <w:tcPr/>
          <w:p>
            <w:pPr>
              <w:pStyle w:val="Compact"/>
              <w:jc w:val="left"/>
            </w:pPr>
            <w:r>
              <w:t xml:space="preserve">Master bedroom wardrobe system with sliding doors, internal shelving, and integrated lighting</w:t>
            </w:r>
          </w:p>
        </w:tc>
        <w:tc>
          <w:tcPr/>
          <w:p>
            <w:pPr>
              <w:pStyle w:val="Compact"/>
              <w:jc w:val="left"/>
            </w:pPr>
            <w:r>
              <w:t xml:space="preserve">1 unit</w:t>
            </w:r>
          </w:p>
        </w:tc>
        <w:tc>
          <w:tcPr/>
          <w:p>
            <w:pPr>
              <w:pStyle w:val="Compact"/>
              <w:jc w:val="left"/>
            </w:pPr>
            <w:r>
              <w:t xml:space="preserve">198,000</w:t>
            </w:r>
          </w:p>
        </w:tc>
        <w:tc>
          <w:tcPr/>
          <w:p>
            <w:pPr>
              <w:pStyle w:val="Compact"/>
              <w:jc w:val="left"/>
            </w:pPr>
            <w:r>
              <w:t xml:space="preserve">198,000</w:t>
            </w:r>
          </w:p>
        </w:tc>
        <w:tc>
          <w:tcPr/>
          <w:p>
            <w:pPr>
              <w:pStyle w:val="Compact"/>
              <w:jc w:val="left"/>
            </w:pPr>
            <w:r>
              <w:t xml:space="preserve">Dimensions: 3.2m x 2.4m x 0.6m</w:t>
            </w:r>
          </w:p>
        </w:tc>
      </w:tr>
      <w:tr>
        <w:tc>
          <w:tcPr/>
          <w:p>
            <w:pPr>
              <w:pStyle w:val="Compact"/>
              <w:jc w:val="left"/>
            </w:pPr>
            <w:r>
              <w:t xml:space="preserve">03</w:t>
            </w:r>
          </w:p>
        </w:tc>
        <w:tc>
          <w:tcPr/>
          <w:p>
            <w:pPr>
              <w:pStyle w:val="Compact"/>
              <w:jc w:val="left"/>
            </w:pPr>
            <w:r>
              <w:t xml:space="preserve">Hardwood parquet flooring installation (oak, herringbone pattern) for living room and two bedrooms</w:t>
            </w:r>
          </w:p>
        </w:tc>
        <w:tc>
          <w:tcPr/>
          <w:p>
            <w:pPr>
              <w:pStyle w:val="Compact"/>
              <w:jc w:val="left"/>
            </w:pPr>
            <w:r>
              <w:t xml:space="preserve">62 m²</w:t>
            </w:r>
          </w:p>
        </w:tc>
        <w:tc>
          <w:tcPr/>
          <w:p>
            <w:pPr>
              <w:pStyle w:val="Compact"/>
              <w:jc w:val="left"/>
            </w:pPr>
            <w:r>
              <w:t xml:space="preserve">4,200</w:t>
            </w:r>
          </w:p>
        </w:tc>
        <w:tc>
          <w:tcPr/>
          <w:p>
            <w:pPr>
              <w:pStyle w:val="Compact"/>
              <w:jc w:val="left"/>
            </w:pPr>
            <w:r>
              <w:t xml:space="preserve">260,400</w:t>
            </w:r>
          </w:p>
        </w:tc>
        <w:tc>
          <w:tcPr/>
          <w:p>
            <w:pPr>
              <w:pStyle w:val="Compact"/>
              <w:jc w:val="left"/>
            </w:pPr>
            <w:r>
              <w:t xml:space="preserve">Includes underlayment and finishing</w:t>
            </w:r>
          </w:p>
        </w:tc>
      </w:tr>
      <w:tr>
        <w:tc>
          <w:tcPr/>
          <w:p>
            <w:pPr>
              <w:pStyle w:val="Compact"/>
              <w:jc w:val="left"/>
            </w:pPr>
            <w:r>
              <w:t xml:space="preserve">04</w:t>
            </w:r>
          </w:p>
        </w:tc>
        <w:tc>
          <w:tcPr/>
          <w:p>
            <w:pPr>
              <w:pStyle w:val="Compact"/>
              <w:jc w:val="left"/>
            </w:pPr>
            <w:r>
              <w:t xml:space="preserve">Custom wooden staircase railing and balustrade (walnut finish) for interior staircase</w:t>
            </w:r>
          </w:p>
        </w:tc>
        <w:tc>
          <w:tcPr/>
          <w:p>
            <w:pPr>
              <w:pStyle w:val="Compact"/>
              <w:jc w:val="left"/>
            </w:pPr>
            <w:r>
              <w:t xml:space="preserve">1 set</w:t>
            </w:r>
          </w:p>
        </w:tc>
        <w:tc>
          <w:tcPr/>
          <w:p>
            <w:pPr>
              <w:pStyle w:val="Compact"/>
              <w:jc w:val="left"/>
            </w:pPr>
            <w:r>
              <w:t xml:space="preserve">145,000</w:t>
            </w:r>
          </w:p>
        </w:tc>
        <w:tc>
          <w:tcPr/>
          <w:p>
            <w:pPr>
              <w:pStyle w:val="Compact"/>
              <w:jc w:val="left"/>
            </w:pPr>
            <w:r>
              <w:t xml:space="preserve">145,000</w:t>
            </w:r>
          </w:p>
        </w:tc>
        <w:tc>
          <w:tcPr/>
          <w:p>
            <w:pPr>
              <w:pStyle w:val="Compact"/>
              <w:jc w:val="left"/>
            </w:pPr>
            <w:r>
              <w:t xml:space="preserve">12 risers, handrail included</w:t>
            </w:r>
          </w:p>
        </w:tc>
      </w:tr>
      <w:tr>
        <w:tc>
          <w:tcPr/>
          <w:p>
            <w:pPr>
              <w:pStyle w:val="Compact"/>
              <w:jc w:val="left"/>
            </w:pPr>
            <w:r>
              <w:t xml:space="preserve">05</w:t>
            </w:r>
          </w:p>
        </w:tc>
        <w:tc>
          <w:tcPr/>
          <w:p>
            <w:pPr>
              <w:pStyle w:val="Compact"/>
              <w:jc w:val="left"/>
            </w:pPr>
            <w:r>
              <w:t xml:space="preserve">Entry door replacement – solid wood security door with ironmongery and threshold</w:t>
            </w:r>
          </w:p>
        </w:tc>
        <w:tc>
          <w:tcPr/>
          <w:p>
            <w:pPr>
              <w:pStyle w:val="Compact"/>
              <w:jc w:val="left"/>
            </w:pPr>
            <w:r>
              <w:t xml:space="preserve">1 unit</w:t>
            </w:r>
          </w:p>
        </w:tc>
        <w:tc>
          <w:tcPr/>
          <w:p>
            <w:pPr>
              <w:pStyle w:val="Compact"/>
              <w:jc w:val="left"/>
            </w:pPr>
            <w:r>
              <w:t xml:space="preserve">92,000</w:t>
            </w:r>
          </w:p>
        </w:tc>
        <w:tc>
          <w:tcPr/>
          <w:p>
            <w:pPr>
              <w:pStyle w:val="Compact"/>
              <w:jc w:val="left"/>
            </w:pPr>
            <w:r>
              <w:t xml:space="preserve">92,000</w:t>
            </w:r>
          </w:p>
        </w:tc>
        <w:tc>
          <w:tcPr/>
          <w:p>
            <w:pPr>
              <w:pStyle w:val="Compact"/>
              <w:jc w:val="left"/>
            </w:pPr>
            <w:r>
              <w:t xml:space="preserve">Fire-rated, 90x210 cm</w:t>
            </w:r>
          </w:p>
        </w:tc>
      </w:tr>
      <w:tr>
        <w:tc>
          <w:tcPr/>
          <w:p>
            <w:pPr>
              <w:pStyle w:val="Compact"/>
              <w:jc w:val="left"/>
            </w:pPr>
            <w:r>
              <w:t xml:space="preserve">06</w:t>
            </w:r>
          </w:p>
        </w:tc>
        <w:tc>
          <w:tcPr/>
          <w:p>
            <w:pPr>
              <w:pStyle w:val="Compact"/>
              <w:jc w:val="left"/>
            </w:pPr>
            <w:r>
              <w:t xml:space="preserve">Bathroom vanity unit with integrated sink, mirror cabinet, and towel shelf (moisture-resistant MDF)</w:t>
            </w:r>
          </w:p>
        </w:tc>
        <w:tc>
          <w:tcPr/>
          <w:p>
            <w:pPr>
              <w:pStyle w:val="Compact"/>
              <w:jc w:val="left"/>
            </w:pPr>
            <w:r>
              <w:t xml:space="preserve">1 unit</w:t>
            </w:r>
          </w:p>
        </w:tc>
        <w:tc>
          <w:tcPr/>
          <w:p>
            <w:pPr>
              <w:pStyle w:val="Compact"/>
              <w:jc w:val="left"/>
            </w:pPr>
            <w:r>
              <w:t xml:space="preserve">68,000</w:t>
            </w:r>
          </w:p>
        </w:tc>
        <w:tc>
          <w:tcPr/>
          <w:p>
            <w:pPr>
              <w:pStyle w:val="Compact"/>
              <w:jc w:val="left"/>
            </w:pPr>
            <w:r>
              <w:t xml:space="preserve">68,000</w:t>
            </w:r>
          </w:p>
        </w:tc>
        <w:tc>
          <w:tcPr/>
          <w:p>
            <w:pPr>
              <w:pStyle w:val="Compact"/>
              <w:jc w:val="left"/>
            </w:pPr>
            <w:r>
              <w:t xml:space="preserve">120 cm width</w:t>
            </w:r>
          </w:p>
        </w:tc>
      </w:tr>
      <w:tr>
        <w:tc>
          <w:tcPr/>
          <w:p>
            <w:pPr>
              <w:pStyle w:val="Compact"/>
              <w:jc w:val="left"/>
            </w:pPr>
            <w:r>
              <w:t xml:space="preserve">07</w:t>
            </w:r>
          </w:p>
        </w:tc>
        <w:tc>
          <w:tcPr/>
          <w:p>
            <w:pPr>
              <w:pStyle w:val="Compact"/>
              <w:jc w:val="left"/>
            </w:pPr>
            <w:r>
              <w:t xml:space="preserve">Window frames and sills replacement (thermo-treated pine) – 6 windows</w:t>
            </w:r>
          </w:p>
        </w:tc>
        <w:tc>
          <w:tcPr/>
          <w:p>
            <w:pPr>
              <w:pStyle w:val="Compact"/>
              <w:jc w:val="left"/>
            </w:pPr>
            <w:r>
              <w:t xml:space="preserve">6 units</w:t>
            </w:r>
          </w:p>
        </w:tc>
        <w:tc>
          <w:tcPr/>
          <w:p>
            <w:pPr>
              <w:pStyle w:val="Compact"/>
              <w:jc w:val="left"/>
            </w:pPr>
            <w:r>
              <w:t xml:space="preserve">18,500</w:t>
            </w:r>
          </w:p>
        </w:tc>
        <w:tc>
          <w:tcPr/>
          <w:p>
            <w:pPr>
              <w:pStyle w:val="Compact"/>
              <w:jc w:val="left"/>
            </w:pPr>
            <w:r>
              <w:t xml:space="preserve">111,000</w:t>
            </w:r>
          </w:p>
        </w:tc>
        <w:tc>
          <w:tcPr/>
          <w:p>
            <w:pPr>
              <w:pStyle w:val="Compact"/>
              <w:jc w:val="left"/>
            </w:pPr>
            <w:r>
              <w:t xml:space="preserve">Includes weatherproofing sealant</w:t>
            </w:r>
          </w:p>
        </w:tc>
      </w:tr>
      <w:tr>
        <w:tc>
          <w:tcPr/>
          <w:p>
            <w:pPr>
              <w:pStyle w:val="Compact"/>
              <w:jc w:val="left"/>
            </w:pPr>
            <w:r>
              <w:t xml:space="preserve">08</w:t>
            </w:r>
          </w:p>
        </w:tc>
        <w:tc>
          <w:tcPr/>
          <w:p>
            <w:pPr>
              <w:pStyle w:val="Compact"/>
              <w:jc w:val="left"/>
            </w:pPr>
            <w:r>
              <w:t xml:space="preserve">Site preparation, debris removal, and final cleaning upon completion of all Carpenter tasks</w:t>
            </w:r>
          </w:p>
        </w:tc>
        <w:tc>
          <w:tcPr/>
          <w:p>
            <w:pPr>
              <w:pStyle w:val="Compact"/>
              <w:jc w:val="left"/>
            </w:pPr>
            <w:r>
              <w:t xml:space="preserve">1 lot</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Compliant with Algiers municipal waste rules</w:t>
            </w:r>
          </w:p>
        </w:tc>
      </w:tr>
      <w:tr>
        <w:tc>
          <w:tcPr/>
          <w:p>
            <w:pPr>
              <w:pStyle w:val="Compact"/>
              <w:jc w:val="left"/>
            </w:pPr>
            <w:r>
              <w:t xml:space="preserve">09</w:t>
            </w:r>
          </w:p>
        </w:tc>
        <w:tc>
          <w:tcPr/>
          <w:p>
            <w:pPr>
              <w:pStyle w:val="Compact"/>
              <w:jc w:val="left"/>
            </w:pPr>
            <w:r>
              <w:t xml:space="preserve">Travel and mobilization within Algiers city limits (Carpenter team of 3, tools, and materials transport)</w:t>
            </w:r>
          </w:p>
        </w:tc>
        <w:tc>
          <w:tcPr/>
          <w:p>
            <w:pPr>
              <w:pStyle w:val="Compact"/>
              <w:jc w:val="left"/>
            </w:pPr>
            <w:r>
              <w:t xml:space="preserve">1 lot</w:t>
            </w:r>
          </w:p>
        </w:tc>
        <w:tc>
          <w:tcPr/>
          <w:p>
            <w:pPr>
              <w:pStyle w:val="Compact"/>
              <w:jc w:val="left"/>
            </w:pPr>
            <w:r>
              <w:t xml:space="preserve">22,000</w:t>
            </w:r>
          </w:p>
        </w:tc>
        <w:tc>
          <w:tcPr/>
          <w:p>
            <w:pPr>
              <w:pStyle w:val="Compact"/>
              <w:jc w:val="left"/>
            </w:pPr>
            <w:r>
              <w:t xml:space="preserve">22,000</w:t>
            </w:r>
          </w:p>
        </w:tc>
        <w:tc>
          <w:tcPr/>
          <w:p>
            <w:pPr>
              <w:pStyle w:val="Compact"/>
              <w:jc w:val="left"/>
            </w:pPr>
            <w:r>
              <w:t xml:space="preserve">Hydra to Bab El Oued</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right"/>
            </w:pPr>
            <w:r>
              <w:t xml:space="preserve">Subtotal (DZD):</w:t>
            </w:r>
          </w:p>
        </w:tc>
        <w:tc>
          <w:tcPr>
            <w:gridSpan w:val="2"/>
          </w:tcPr>
          <w:p>
            <w:pPr>
              <w:pStyle w:val="Compact"/>
              <w:jc w:val="left"/>
            </w:pPr>
            <w:r>
              <w:t xml:space="preserve">1,216,400</w:t>
            </w:r>
          </w:p>
        </w:tc>
      </w:tr>
      <w:tr>
        <w:tc>
          <w:tcPr>
            <w:gridSpan w:val="4"/>
          </w:tcPr>
          <w:p>
            <w:pPr>
              <w:pStyle w:val="Compact"/>
              <w:jc w:val="right"/>
            </w:pPr>
            <w:r>
              <w:t xml:space="preserve">VAT (19% – Algerian tax rate):</w:t>
            </w:r>
          </w:p>
        </w:tc>
        <w:tc>
          <w:tcPr>
            <w:gridSpan w:val="2"/>
          </w:tcPr>
          <w:p>
            <w:pPr>
              <w:pStyle w:val="Compact"/>
              <w:jc w:val="left"/>
            </w:pPr>
            <w:r>
              <w:t xml:space="preserve">231,116</w:t>
            </w:r>
          </w:p>
        </w:tc>
      </w:tr>
      <w:tr>
        <w:tc>
          <w:tcPr>
            <w:gridSpan w:val="4"/>
          </w:tcPr>
          <w:p>
            <w:pPr>
              <w:pStyle w:val="Compact"/>
              <w:jc w:val="right"/>
            </w:pPr>
            <w:r>
              <w:t xml:space="preserve">TOTAL QUOTATION ESTIMATE (DZD):</w:t>
            </w:r>
          </w:p>
        </w:tc>
        <w:tc>
          <w:tcPr>
            <w:gridSpan w:val="2"/>
          </w:tcPr>
          <w:p>
            <w:pPr>
              <w:pStyle w:val="Compact"/>
              <w:jc w:val="left"/>
            </w:pPr>
            <w:r>
              <w:t xml:space="preserve">1,447,516</w:t>
            </w:r>
          </w:p>
        </w:tc>
      </w:tr>
    </w:tbl>
    <w:bookmarkEnd w:id="25"/>
    <w:bookmarkStart w:id="26" w:name="project-timeline"/>
    <w:p>
      <w:pPr>
        <w:pStyle w:val="Heading2"/>
      </w:pPr>
      <w:r>
        <w:t xml:space="preserve">3. Project Timeline</w:t>
      </w:r>
    </w:p>
    <w:p>
      <w:pPr>
        <w:pStyle w:val="FirstParagraph"/>
      </w:pPr>
      <w:r>
        <w:t xml:space="preserve">The</w:t>
      </w:r>
      <w:r>
        <w:t xml:space="preserve"> </w:t>
      </w:r>
      <w:r>
        <w:t xml:space="preserve">Carpenter</w:t>
      </w:r>
      <w:r>
        <w:t xml:space="preserve"> </w:t>
      </w:r>
      <w:r>
        <w:t xml:space="preserve">team will commence work on the agreed start date following receipt of the initial payment. The estimated duration for all tasks listed in this</w:t>
      </w:r>
      <w:r>
        <w:t xml:space="preserve"> </w:t>
      </w:r>
      <w:r>
        <w:t xml:space="preserve">Quotation Estimate</w:t>
      </w:r>
      <w:r>
        <w:t xml:space="preserve"> </w:t>
      </w:r>
      <w:r>
        <w:t xml:space="preserve">is</w:t>
      </w:r>
      <w:r>
        <w:t xml:space="preserve"> </w:t>
      </w:r>
      <w:r>
        <w:rPr>
          <w:bCs/>
          <w:b/>
        </w:rPr>
        <w:t xml:space="preserve">22 working days</w:t>
      </w:r>
      <w:r>
        <w:t xml:space="preserve">, subject to site access and material availability within</w:t>
      </w:r>
      <w:r>
        <w:t xml:space="preserve"> </w:t>
      </w:r>
      <w:r>
        <w:t xml:space="preserve">Algeria Algiers</w:t>
      </w:r>
      <w:r>
        <w:t xml:space="preserve">. A detailed weekly schedule will be provided upon contract signing. Any delays caused by force majeure, client-requested changes, or municipal permit issues in Algiers will be communicated in writing and may adjust the completion date accordingly.</w:t>
      </w:r>
    </w:p>
    <w:bookmarkEnd w:id="26"/>
    <w:bookmarkStart w:id="27" w:name="payment-terms"/>
    <w:p>
      <w:pPr>
        <w:pStyle w:val="Heading2"/>
      </w:pPr>
      <w:r>
        <w:t xml:space="preserve">4. Payment Terms</w:t>
      </w:r>
    </w:p>
    <w:p>
      <w:pPr>
        <w:pStyle w:val="FirstParagraph"/>
      </w:pPr>
      <w:r>
        <w:rPr>
          <w:bCs/>
          <w:b/>
        </w:rPr>
        <w:t xml:space="preserve">4.1</w:t>
      </w:r>
      <w:r>
        <w:t xml:space="preserve"> </w:t>
      </w:r>
      <w:r>
        <w:t xml:space="preserve">– 40% advance payment (DZD 579,006) due upon acceptance of this Quotation Estimate and signing of the service contract.</w:t>
      </w:r>
    </w:p>
    <w:p>
      <w:pPr>
        <w:pStyle w:val="BodyText"/>
      </w:pPr>
      <w:r>
        <w:rPr>
          <w:bCs/>
          <w:b/>
        </w:rPr>
        <w:t xml:space="preserve">4.2</w:t>
      </w:r>
      <w:r>
        <w:t xml:space="preserve"> </w:t>
      </w:r>
      <w:r>
        <w:t xml:space="preserve">– 40% interim payment (DZD 579,006) due upon completion of 50% of the Carpenter work, as verified by a joint site inspection.</w:t>
      </w:r>
    </w:p>
    <w:p>
      <w:pPr>
        <w:pStyle w:val="BodyText"/>
      </w:pPr>
      <w:r>
        <w:rPr>
          <w:bCs/>
          <w:b/>
        </w:rPr>
        <w:t xml:space="preserve">4.3</w:t>
      </w:r>
      <w:r>
        <w:t xml:space="preserve"> </w:t>
      </w:r>
      <w:r>
        <w:t xml:space="preserve">– 20% final payment (DZD 289,504) due upon full completion, final inspection, and handover of all keys and warranties.</w:t>
      </w:r>
    </w:p>
    <w:p>
      <w:pPr>
        <w:pStyle w:val="BodyText"/>
      </w:pPr>
      <w:r>
        <w:rPr>
          <w:bCs/>
          <w:b/>
        </w:rPr>
        <w:t xml:space="preserve">4.4</w:t>
      </w:r>
      <w:r>
        <w:t xml:space="preserve"> </w:t>
      </w:r>
      <w:r>
        <w:t xml:space="preserve">– All payments shall be made in Algerian Dinars (DZD) via bank transfer to the account of Atelier Benali Woodworks, Bank of Algeria, Algiers branch.</w:t>
      </w:r>
    </w:p>
    <w:bookmarkEnd w:id="27"/>
    <w:bookmarkStart w:id="28" w:name="terms-and-conditions"/>
    <w:p>
      <w:pPr>
        <w:pStyle w:val="Heading2"/>
      </w:pPr>
      <w:r>
        <w:t xml:space="preserve">5. Terms and Conditions</w:t>
      </w:r>
    </w:p>
    <w:p>
      <w:pPr>
        <w:pStyle w:val="FirstParagraph"/>
      </w:pPr>
      <w:r>
        <w:rPr>
          <w:bCs/>
          <w:b/>
        </w:rPr>
        <w:t xml:space="preserve">5.1</w:t>
      </w:r>
      <w:r>
        <w:t xml:space="preserve"> </w:t>
      </w:r>
      <w:r>
        <w:t xml:space="preserve">– This Quotation Estimate is valid for 30 calendar days from the date of issue. After expiry, prices may be revised due to fluctuations in raw material costs in the Algiers market.</w:t>
      </w:r>
    </w:p>
    <w:p>
      <w:pPr>
        <w:pStyle w:val="BodyText"/>
      </w:pPr>
      <w:r>
        <w:rPr>
          <w:bCs/>
          <w:b/>
        </w:rPr>
        <w:t xml:space="preserve">5.2</w:t>
      </w:r>
      <w:r>
        <w:t xml:space="preserve"> </w:t>
      </w:r>
      <w:r>
        <w:t xml:space="preserve">– All materials used by the Carpenter will be of certified quality, sourced from approved suppliers within Algeria. Timber will be treated for insect resistance in accordance with Algerian forestry standards.</w:t>
      </w:r>
    </w:p>
    <w:p>
      <w:pPr>
        <w:pStyle w:val="BodyText"/>
      </w:pPr>
      <w:r>
        <w:rPr>
          <w:bCs/>
          <w:b/>
        </w:rPr>
        <w:t xml:space="preserve">5.3</w:t>
      </w:r>
      <w:r>
        <w:t xml:space="preserve"> </w:t>
      </w:r>
      <w:r>
        <w:t xml:space="preserve">– A warranty of</w:t>
      </w:r>
      <w:r>
        <w:t xml:space="preserve"> </w:t>
      </w:r>
      <w:r>
        <w:rPr>
          <w:bCs/>
          <w:b/>
        </w:rPr>
        <w:t xml:space="preserve">24 months</w:t>
      </w:r>
      <w:r>
        <w:t xml:space="preserve"> </w:t>
      </w:r>
      <w:r>
        <w:t xml:space="preserve">is provided on all workmanship and structural elements. Hardware and fittings carry the manufacturer's standard warranty.</w:t>
      </w:r>
    </w:p>
    <w:p>
      <w:pPr>
        <w:pStyle w:val="BodyText"/>
      </w:pPr>
      <w:r>
        <w:rPr>
          <w:bCs/>
          <w:b/>
        </w:rPr>
        <w:t xml:space="preserve">5.4</w:t>
      </w:r>
      <w:r>
        <w:t xml:space="preserve"> </w:t>
      </w:r>
      <w:r>
        <w:t xml:space="preserve">– The client agrees to provide safe access to the property in Algiers, including electricity and water where required, during the execution period.</w:t>
      </w:r>
    </w:p>
    <w:p>
      <w:pPr>
        <w:pStyle w:val="BodyText"/>
      </w:pPr>
      <w:r>
        <w:rPr>
          <w:bCs/>
          <w:b/>
        </w:rPr>
        <w:t xml:space="preserve">5.5</w:t>
      </w:r>
      <w:r>
        <w:t xml:space="preserve"> </w:t>
      </w:r>
      <w:r>
        <w:t xml:space="preserve">– Any additional work not included in this Quotation Estimate will be subject to a separate written amendment signed by both parties before commencement.</w:t>
      </w:r>
    </w:p>
    <w:p>
      <w:pPr>
        <w:pStyle w:val="BodyText"/>
      </w:pPr>
      <w:r>
        <w:rPr>
          <w:bCs/>
          <w:b/>
        </w:rPr>
        <w:t xml:space="preserve">5.6</w:t>
      </w:r>
      <w:r>
        <w:t xml:space="preserve"> </w:t>
      </w:r>
      <w:r>
        <w:t xml:space="preserve">– This document constitutes a binding Quotation Estimate only upon written acceptance by the client and countersignature by the Carpenter's authorized representative.</w:t>
      </w:r>
    </w:p>
    <w:p>
      <w:pPr>
        <w:pStyle w:val="BodyText"/>
      </w:pPr>
      <w:r>
        <w:rPr>
          <w:bCs/>
          <w:b/>
        </w:rPr>
        <w:t xml:space="preserve">5.7</w:t>
      </w:r>
      <w:r>
        <w:t xml:space="preserve"> </w:t>
      </w:r>
      <w:r>
        <w:t xml:space="preserve">– Disputes arising from this agreement shall be resolved through amicable negotiation. Failing resolution, matters shall be referred to the competent commercial court in Algiers, Algeria.</w:t>
      </w:r>
    </w:p>
    <w:bookmarkEnd w:id="28"/>
    <w:bookmarkStart w:id="29" w:name="acceptance-and-signatures"/>
    <w:p>
      <w:pPr>
        <w:pStyle w:val="Heading2"/>
      </w:pPr>
      <w:r>
        <w:t xml:space="preserve">6. Acceptance and Signatures</w:t>
      </w:r>
    </w:p>
    <w:p>
      <w:pPr>
        <w:pStyle w:val="FirstParagraph"/>
      </w:pPr>
      <w:r>
        <w:t xml:space="preserve">By signing below, both parties acknowledge and agree to the terms, scope, and pricing outlined in this Quotation Estimate for Carpenter services in Algeria Algiers.</w:t>
      </w:r>
    </w:p>
    <w:p>
      <w:pPr>
        <w:pStyle w:val="BodyText"/>
      </w:pPr>
      <w:r>
        <w:rPr>
          <w:bCs/>
          <w:b/>
        </w:rPr>
        <w:t xml:space="preserve">For Atelier Benali Woodworks (Carpenter)</w:t>
      </w:r>
    </w:p>
    <w:p>
      <w:pPr>
        <w:pStyle w:val="BodyText"/>
      </w:pPr>
      <w:r>
        <w:t xml:space="preserve">Name: Ahmed Benali</w:t>
      </w:r>
    </w:p>
    <w:p>
      <w:pPr>
        <w:pStyle w:val="BodyText"/>
      </w:pPr>
      <w:r>
        <w:t xml:space="preserve">Title: Master Carpenter / Director</w:t>
      </w:r>
    </w:p>
    <w:p>
      <w:pPr>
        <w:pStyle w:val="BodyText"/>
      </w:pPr>
      <w:r>
        <w:t xml:space="preserve">Date: _______________</w:t>
      </w:r>
    </w:p>
    <w:p>
      <w:pPr>
        <w:pStyle w:val="BodyText"/>
      </w:pPr>
      <w:r>
        <w:rPr>
          <w:bCs/>
          <w:b/>
        </w:rPr>
        <w:t xml:space="preserve">For the Client</w:t>
      </w:r>
    </w:p>
    <w:p>
      <w:pPr>
        <w:pStyle w:val="BodyText"/>
      </w:pPr>
      <w:r>
        <w:t xml:space="preserve">Name: Karim Haddad</w:t>
      </w:r>
    </w:p>
    <w:p>
      <w:pPr>
        <w:pStyle w:val="BodyText"/>
      </w:pPr>
      <w:r>
        <w:t xml:space="preserve">Title: Property Owner</w:t>
      </w:r>
    </w:p>
    <w:p>
      <w:pPr>
        <w:pStyle w:val="BodyText"/>
      </w:pPr>
      <w:r>
        <w:t xml:space="preserve">Date: _______________</w:t>
      </w:r>
    </w:p>
    <w:p>
      <w:pPr>
        <w:pStyle w:val="BodyText"/>
      </w:pPr>
      <w:r>
        <w:t xml:space="preserve">Atelier Benali Woodworks – Licensed Carpenter Workshop – Algiers, Algeria</w:t>
      </w:r>
    </w:p>
    <w:p>
      <w:pPr>
        <w:pStyle w:val="BodyText"/>
      </w:pPr>
      <w:r>
        <w:t xml:space="preserve">Quotation Estimate No. QE-2025-0347 | This document is generated electronically and is valid without a physical stamp.</w:t>
      </w:r>
    </w:p>
    <w:p>
      <w:pPr>
        <w:pStyle w:val="BodyText"/>
      </w:pPr>
      <w:r>
        <w:t xml:space="preserve">© 2025 Atelier Benali Woodworks.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Algeria Algiers</dc:title>
  <dc:creator/>
  <dc:language>en</dc:language>
  <cp:keywords/>
  <dcterms:created xsi:type="dcterms:W3CDTF">2026-10-10T01:45:11Z</dcterms:created>
  <dcterms:modified xsi:type="dcterms:W3CDTF">2026-10-10T01:45:11Z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