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Argentina</w:t>
      </w:r>
      <w:r>
        <w:t xml:space="preserve"> </w:t>
      </w:r>
      <w:r>
        <w:t xml:space="preserve">Córdoba</w:t>
      </w:r>
    </w:p>
    <w:bookmarkStart w:id="20" w:name="quotation-estimate"/>
    <w:p>
      <w:pPr>
        <w:pStyle w:val="Heading1"/>
      </w:pPr>
      <w:r>
        <w:t xml:space="preserve">QUOTATION ESTIMATE</w:t>
      </w:r>
    </w:p>
    <w:p>
      <w:pPr>
        <w:pStyle w:val="FirstParagraph"/>
      </w:pPr>
      <w:r>
        <w:t xml:space="preserve">Professional Carpenter Services — Argentina Córdoba</w:t>
      </w:r>
    </w:p>
    <w:p>
      <w:pPr>
        <w:pStyle w:val="BodyText"/>
      </w:pPr>
      <w:r>
        <w:t xml:space="preserve">Ref: QE-CBA-2025-0478</w:t>
      </w:r>
    </w:p>
    <w:bookmarkEnd w:id="20"/>
    <w:p>
      <w:pPr>
        <w:pStyle w:val="BodyText"/>
      </w:pPr>
      <w:r>
        <w:rPr>
          <w:bCs/>
          <w:b/>
        </w:rPr>
        <w:t xml:space="preserve">Provider:</w:t>
      </w:r>
      <w:r>
        <w:t xml:space="preserve"> </w:t>
      </w:r>
      <w:r>
        <w:t xml:space="preserve">Mañanía &amp; Hijo Carpintería S.R.L.</w:t>
      </w:r>
      <w:r>
        <w:br/>
      </w:r>
      <w:r>
        <w:rPr>
          <w:bCs/>
          <w:b/>
        </w:rPr>
        <w:t xml:space="preserve">Address:</w:t>
      </w:r>
      <w:r>
        <w:t xml:space="preserve"> </w:t>
      </w:r>
      <w:r>
        <w:t xml:space="preserve">Av. Colón 4520, Barrio Alta Córdoba</w:t>
      </w:r>
      <w:r>
        <w:br/>
      </w:r>
      <w:r>
        <w:rPr>
          <w:bCs/>
          <w:b/>
        </w:rPr>
        <w:t xml:space="preserve">City:</w:t>
      </w:r>
      <w:r>
        <w:t xml:space="preserve"> </w:t>
      </w:r>
      <w:r>
        <w:t xml:space="preserve">Córdoba, Argentina</w:t>
      </w:r>
      <w:r>
        <w:br/>
      </w:r>
      <w:r>
        <w:rPr>
          <w:bCs/>
          <w:b/>
        </w:rPr>
        <w:t xml:space="preserve">CUIT:</w:t>
      </w:r>
      <w:r>
        <w:t xml:space="preserve"> </w:t>
      </w:r>
      <w:r>
        <w:t xml:space="preserve">30-71234567-8</w:t>
      </w:r>
      <w:r>
        <w:br/>
      </w:r>
      <w:r>
        <w:rPr>
          <w:bCs/>
          <w:b/>
        </w:rPr>
        <w:t xml:space="preserve">Phone:</w:t>
      </w:r>
      <w:r>
        <w:t xml:space="preserve"> </w:t>
      </w:r>
      <w:r>
        <w:t xml:space="preserve">+54 351 425-6789</w:t>
      </w:r>
      <w:r>
        <w:br/>
      </w:r>
      <w:r>
        <w:rPr>
          <w:bCs/>
          <w:b/>
        </w:rPr>
        <w:t xml:space="preserve">Email:</w:t>
      </w:r>
      <w:r>
        <w:t xml:space="preserve"> </w:t>
      </w:r>
      <w:r>
        <w:t xml:space="preserve">contacto@mananiahijo.com.ar</w:t>
      </w:r>
    </w:p>
    <w:p>
      <w:pPr>
        <w:pStyle w:val="BodyText"/>
      </w:pPr>
      <w:r>
        <w:rPr>
          <w:bCs/>
          <w:b/>
        </w:rPr>
        <w:t xml:space="preserve">Client:</w:t>
      </w:r>
      <w:r>
        <w:t xml:space="preserve"> </w:t>
      </w:r>
      <w:r>
        <w:t xml:space="preserve">Ing. Roberto Sánchez Pérez</w:t>
      </w:r>
      <w:r>
        <w:br/>
      </w:r>
      <w:r>
        <w:rPr>
          <w:bCs/>
          <w:b/>
        </w:rPr>
        <w:t xml:space="preserve">Address:</w:t>
      </w:r>
      <w:r>
        <w:t xml:space="preserve"> </w:t>
      </w:r>
      <w:r>
        <w:t xml:space="preserve">Calle Mitre 1287, Piso 3</w:t>
      </w:r>
      <w:r>
        <w:br/>
      </w:r>
      <w:r>
        <w:rPr>
          <w:bCs/>
          <w:b/>
        </w:rPr>
        <w:t xml:space="preserve">City:</w:t>
      </w:r>
      <w:r>
        <w:t xml:space="preserve"> </w:t>
      </w:r>
      <w:r>
        <w:t xml:space="preserve">Córdoba, Argentina</w:t>
      </w:r>
      <w:r>
        <w:br/>
      </w:r>
      <w:r>
        <w:rPr>
          <w:bCs/>
          <w:b/>
        </w:rPr>
        <w:t xml:space="preserve">CUIT/CUIL:</w:t>
      </w:r>
      <w:r>
        <w:t xml:space="preserve"> </w:t>
      </w:r>
      <w:r>
        <w:t xml:space="preserve">20-12345678-9</w:t>
      </w:r>
      <w:r>
        <w:br/>
      </w:r>
      <w:r>
        <w:rPr>
          <w:bCs/>
          <w:b/>
        </w:rPr>
        <w:t xml:space="preserve">Phone:</w:t>
      </w:r>
      <w:r>
        <w:t xml:space="preserve"> </w:t>
      </w:r>
      <w:r>
        <w:t xml:space="preserve">+54 351 567-8901</w:t>
      </w:r>
    </w:p>
    <w:p>
      <w:pPr>
        <w:pStyle w:val="BodyText"/>
      </w:pPr>
      <w:r>
        <w:t xml:space="preserve">1. Quotation Estimate Summary</w:t>
      </w:r>
    </w:p>
    <w:p>
      <w:pPr>
        <w:pStyle w:val="BodyText"/>
      </w:pPr>
      <w:r>
        <w:t xml:space="preserve">This</w:t>
      </w:r>
      <w:r>
        <w:t xml:space="preserve"> </w:t>
      </w:r>
      <w:r>
        <w:t xml:space="preserve">Quotation Estimate</w:t>
      </w:r>
      <w:r>
        <w:t xml:space="preserve"> </w:t>
      </w:r>
      <w:r>
        <w:t xml:space="preserve">is issued by Mañanía &amp; Hijo Carpintería S.R.L., a licensed and insured</w:t>
      </w:r>
      <w:r>
        <w:t xml:space="preserve"> </w:t>
      </w:r>
      <w:r>
        <w:t xml:space="preserve">Carpenter</w:t>
      </w:r>
      <w:r>
        <w:t xml:space="preserve"> </w:t>
      </w:r>
      <w:r>
        <w:t xml:space="preserve">workshop operating in the city of</w:t>
      </w:r>
      <w:r>
        <w:t xml:space="preserve"> </w:t>
      </w:r>
      <w:r>
        <w:t xml:space="preserve">Argentina Córdoba</w:t>
      </w:r>
      <w:r>
        <w:t xml:space="preserve">, to provide a comprehensive breakdown of costs, materials, and labor associated with the custom woodworking project described herein. This document serves as a formal</w:t>
      </w:r>
      <w:r>
        <w:t xml:space="preserve"> </w:t>
      </w:r>
      <w:r>
        <w:t xml:space="preserve">Quotation Estimate</w:t>
      </w:r>
      <w:r>
        <w:t xml:space="preserve"> </w:t>
      </w:r>
      <w:r>
        <w:t xml:space="preserve">and does not constitute a binding contract until both parties have signed and accepted all terms outlined below. The</w:t>
      </w:r>
      <w:r>
        <w:t xml:space="preserve"> </w:t>
      </w:r>
      <w:r>
        <w:t xml:space="preserve">Carpenter</w:t>
      </w:r>
      <w:r>
        <w:t xml:space="preserve"> </w:t>
      </w:r>
      <w:r>
        <w:t xml:space="preserve">team based in</w:t>
      </w:r>
      <w:r>
        <w:t xml:space="preserve"> </w:t>
      </w:r>
      <w:r>
        <w:t xml:space="preserve">Argentina Córdoba</w:t>
      </w:r>
      <w:r>
        <w:t xml:space="preserve"> </w:t>
      </w:r>
      <w:r>
        <w:t xml:space="preserve">has assessed the project requirements and prepared this</w:t>
      </w:r>
      <w:r>
        <w:t xml:space="preserve"> </w:t>
      </w:r>
      <w:r>
        <w:t xml:space="preserve">Quotation Estimate</w:t>
      </w:r>
      <w:r>
        <w:t xml:space="preserve"> </w:t>
      </w:r>
      <w:r>
        <w:t xml:space="preserve">to ensure full transparency regarding all costs involved.</w:t>
      </w:r>
    </w:p>
    <w:p>
      <w:pPr>
        <w:pStyle w:val="BodyText"/>
      </w:pPr>
      <w:r>
        <w:t xml:space="preserve">2. Scope of Work — Carpenter Services in Argentina Córdoba</w:t>
      </w:r>
    </w:p>
    <w:p>
      <w:pPr>
        <w:pStyle w:val="BodyText"/>
      </w:pPr>
      <w:r>
        <w:t xml:space="preserve">The</w:t>
      </w:r>
      <w:r>
        <w:t xml:space="preserve"> </w:t>
      </w:r>
      <w:r>
        <w:t xml:space="preserve">Carpenter</w:t>
      </w:r>
      <w:r>
        <w:t xml:space="preserve"> </w:t>
      </w:r>
      <w:r>
        <w:t xml:space="preserve">services detailed in this</w:t>
      </w:r>
      <w:r>
        <w:t xml:space="preserve"> </w:t>
      </w:r>
      <w:r>
        <w:t xml:space="preserve">Quotation Estimate</w:t>
      </w:r>
      <w:r>
        <w:t xml:space="preserve"> </w:t>
      </w:r>
      <w:r>
        <w:t xml:space="preserve">encompass the design, fabrication, and installation of custom hardwood cabinetry, a built-in bookshelf unit, and a solid oak dining table for the client’s residential property located in the city of</w:t>
      </w:r>
      <w:r>
        <w:t xml:space="preserve"> </w:t>
      </w:r>
      <w:r>
        <w:t xml:space="preserve">Argentina Córdoba</w:t>
      </w:r>
      <w:r>
        <w:t xml:space="preserve">. All work will be performed by our senior</w:t>
      </w:r>
      <w:r>
        <w:t xml:space="preserve"> </w:t>
      </w:r>
      <w:r>
        <w:t xml:space="preserve">Carpenter</w:t>
      </w:r>
      <w:r>
        <w:t xml:space="preserve"> </w:t>
      </w:r>
      <w:r>
        <w:t xml:space="preserve">crew, who possess over fifteen years of combined experience in residential and commercial woodworking within the</w:t>
      </w:r>
      <w:r>
        <w:t xml:space="preserve"> </w:t>
      </w:r>
      <w:r>
        <w:t xml:space="preserve">Argentina Córdoba</w:t>
      </w:r>
      <w:r>
        <w:t xml:space="preserve"> </w:t>
      </w:r>
      <w:r>
        <w:t xml:space="preserve">metropolitan area. The</w:t>
      </w:r>
      <w:r>
        <w:t xml:space="preserve"> </w:t>
      </w:r>
      <w:r>
        <w:t xml:space="preserve">Carpenter</w:t>
      </w:r>
      <w:r>
        <w:t xml:space="preserve"> </w:t>
      </w:r>
      <w:r>
        <w:t xml:space="preserve">team will utilize locally sourced quebracho and eucalyptus hardwoods, complemented by imported European beech for structural components, in accordance with the specifications agreed upon during the initial site consultation conducted on 12 March 2025.</w:t>
      </w:r>
    </w:p>
    <w:p>
      <w:pPr>
        <w:pStyle w:val="BodyText"/>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01</w:t>
            </w:r>
          </w:p>
        </w:tc>
        <w:tc>
          <w:tcPr/>
          <w:p>
            <w:pPr>
              <w:pStyle w:val="Compact"/>
              <w:jc w:val="left"/>
            </w:pPr>
            <w:r>
              <w:t xml:space="preserve">Custom kitchen cabinetry — quebracho hardwood, 4.2 linear meters, including soft-close hardware and granite countertop integration</w:t>
            </w:r>
          </w:p>
        </w:tc>
        <w:tc>
          <w:tcPr/>
          <w:p>
            <w:pPr>
              <w:pStyle w:val="Compact"/>
              <w:jc w:val="left"/>
            </w:pPr>
            <w:r>
              <w:t xml:space="preserve">1 set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Built-in bookshelf unit — eucalyptus, 2.8m height × 1.6m width, with adjustable shelving and LED strip lighting</w:t>
            </w:r>
          </w:p>
        </w:tc>
        <w:tc>
          <w:tcPr/>
          <w:p>
            <w:pPr>
              <w:pStyle w:val="Compact"/>
              <w:jc w:val="left"/>
            </w:pPr>
            <w:r>
              <w:t xml:space="preserve">1 unit</w:t>
            </w:r>
          </w:p>
        </w:tc>
        <w:tc>
          <w:tcPr/>
          <w:p>
            <w:pPr>
              <w:pStyle w:val="Compact"/>
              <w:jc w:val="left"/>
            </w:pPr>
            <w:r>
              <w:t xml:space="preserve">920,000</w:t>
            </w:r>
          </w:p>
        </w:tc>
        <w:tc>
          <w:tcPr/>
          <w:p>
            <w:pPr>
              <w:pStyle w:val="Compact"/>
              <w:jc w:val="left"/>
            </w:pPr>
            <w:r>
              <w:t xml:space="preserve">920,000</w:t>
            </w:r>
          </w:p>
        </w:tc>
      </w:tr>
      <w:tr>
        <w:tc>
          <w:tcPr/>
          <w:p>
            <w:pPr>
              <w:pStyle w:val="Compact"/>
              <w:jc w:val="left"/>
            </w:pPr>
            <w:r>
              <w:t xml:space="preserve">03</w:t>
            </w:r>
          </w:p>
        </w:tc>
        <w:tc>
          <w:tcPr/>
          <w:p>
            <w:pPr>
              <w:pStyle w:val="Compact"/>
              <w:jc w:val="left"/>
            </w:pPr>
            <w:r>
              <w:t xml:space="preserve">Solid oak dining table — 2.4m × 1.1m, hand-finished with natural oil, includes 6 matching chairs</w:t>
            </w:r>
          </w:p>
        </w:tc>
        <w:tc>
          <w:tcPr/>
          <w:p>
            <w:pPr>
              <w:pStyle w:val="Compact"/>
              <w:jc w:val="left"/>
            </w:pPr>
            <w:r>
              <w:t xml:space="preserve">1 set</w:t>
            </w:r>
          </w:p>
        </w:tc>
        <w:tc>
          <w:tcPr/>
          <w:p>
            <w:pPr>
              <w:pStyle w:val="Compact"/>
              <w:jc w:val="left"/>
            </w:pPr>
            <w:r>
              <w:t xml:space="preserve">1,340,000</w:t>
            </w:r>
          </w:p>
        </w:tc>
        <w:tc>
          <w:tcPr/>
          <w:p>
            <w:pPr>
              <w:pStyle w:val="Compact"/>
              <w:jc w:val="left"/>
            </w:pPr>
            <w:r>
              <w:t xml:space="preserve">1,340,000</w:t>
            </w:r>
          </w:p>
        </w:tc>
      </w:tr>
      <w:tr>
        <w:tc>
          <w:tcPr/>
          <w:p>
            <w:pPr>
              <w:pStyle w:val="Compact"/>
              <w:jc w:val="left"/>
            </w:pPr>
            <w:r>
              <w:t xml:space="preserve">04</w:t>
            </w:r>
          </w:p>
        </w:tc>
        <w:tc>
          <w:tcPr/>
          <w:p>
            <w:pPr>
              <w:pStyle w:val="Compact"/>
              <w:jc w:val="left"/>
            </w:pPr>
            <w:r>
              <w:t xml:space="preserve">Professional Carpenter labor — on-site installation, finishing, and quality inspection (estimated 18 working days)</w:t>
            </w:r>
          </w:p>
        </w:tc>
        <w:tc>
          <w:tcPr/>
          <w:p>
            <w:pPr>
              <w:pStyle w:val="Compact"/>
              <w:jc w:val="left"/>
            </w:pPr>
            <w:r>
              <w:t xml:space="preserve">18 days</w:t>
            </w:r>
          </w:p>
        </w:tc>
        <w:tc>
          <w:tcPr/>
          <w:p>
            <w:pPr>
              <w:pStyle w:val="Compact"/>
              <w:jc w:val="left"/>
            </w:pPr>
            <w:r>
              <w:t xml:space="preserve">85,000</w:t>
            </w:r>
          </w:p>
        </w:tc>
        <w:tc>
          <w:tcPr/>
          <w:p>
            <w:pPr>
              <w:pStyle w:val="Compact"/>
              <w:jc w:val="left"/>
            </w:pPr>
            <w:r>
              <w:t xml:space="preserve">1,530,000</w:t>
            </w:r>
          </w:p>
        </w:tc>
      </w:tr>
      <w:tr>
        <w:tc>
          <w:tcPr/>
          <w:p>
            <w:pPr>
              <w:pStyle w:val="Compact"/>
              <w:jc w:val="left"/>
            </w:pPr>
            <w:r>
              <w:t xml:space="preserve">05</w:t>
            </w:r>
          </w:p>
        </w:tc>
        <w:tc>
          <w:tcPr/>
          <w:p>
            <w:pPr>
              <w:pStyle w:val="Compact"/>
              <w:jc w:val="left"/>
            </w:pPr>
            <w:r>
              <w:t xml:space="preserve">Materials — hardware, adhesives, sandpaper, finishing oils, sealants, and auxiliary supplies</w:t>
            </w:r>
          </w:p>
        </w:tc>
        <w:tc>
          <w:tcPr/>
          <w:p>
            <w:pPr>
              <w:pStyle w:val="Compact"/>
              <w:jc w:val="left"/>
            </w:pPr>
            <w:r>
              <w:t xml:space="preserve">1 lot</w:t>
            </w:r>
          </w:p>
        </w:tc>
        <w:tc>
          <w:tcPr/>
          <w:p>
            <w:pPr>
              <w:pStyle w:val="Compact"/>
              <w:jc w:val="left"/>
            </w:pPr>
            <w:r>
              <w:t xml:space="preserve">210,000</w:t>
            </w:r>
          </w:p>
        </w:tc>
        <w:tc>
          <w:tcPr/>
          <w:p>
            <w:pPr>
              <w:pStyle w:val="Compact"/>
              <w:jc w:val="left"/>
            </w:pPr>
            <w:r>
              <w:t xml:space="preserve">210,000</w:t>
            </w:r>
          </w:p>
        </w:tc>
      </w:tr>
      <w:tr>
        <w:tc>
          <w:tcPr/>
          <w:p>
            <w:pPr>
              <w:pStyle w:val="Compact"/>
              <w:jc w:val="left"/>
            </w:pPr>
            <w:r>
              <w:t xml:space="preserve">06</w:t>
            </w:r>
          </w:p>
        </w:tc>
        <w:tc>
          <w:tcPr/>
          <w:p>
            <w:pPr>
              <w:pStyle w:val="Compact"/>
              <w:jc w:val="left"/>
            </w:pPr>
            <w:r>
              <w:t xml:space="preserve">Transportation and logistics within Argentina Córdoba city limits</w:t>
            </w:r>
          </w:p>
        </w:tc>
        <w:tc>
          <w:tcPr/>
          <w:p>
            <w:pPr>
              <w:pStyle w:val="Compact"/>
              <w:jc w:val="left"/>
            </w:pPr>
            <w:r>
              <w:t xml:space="preserve">1 trip</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07</w:t>
            </w:r>
          </w:p>
        </w:tc>
        <w:tc>
          <w:tcPr/>
          <w:p>
            <w:pPr>
              <w:pStyle w:val="Compact"/>
              <w:jc w:val="left"/>
            </w:pPr>
            <w:r>
              <w:t xml:space="preserve">Design consultation and 3D rendering (Carpenter workshop in Argentina Córdoba)</w:t>
            </w:r>
          </w:p>
        </w:tc>
        <w:tc>
          <w:tcPr/>
          <w:p>
            <w:pPr>
              <w:pStyle w:val="Compact"/>
              <w:jc w:val="left"/>
            </w:pPr>
            <w:r>
              <w:t xml:space="preserve">1 session</w:t>
            </w:r>
          </w:p>
        </w:tc>
        <w:tc>
          <w:tcPr/>
          <w:p>
            <w:pPr>
              <w:pStyle w:val="Compact"/>
              <w:jc w:val="left"/>
            </w:pPr>
            <w:r>
              <w:t xml:space="preserve">60,000</w:t>
            </w:r>
          </w:p>
        </w:tc>
        <w:tc>
          <w:tcPr/>
          <w:p>
            <w:pPr>
              <w:pStyle w:val="Compact"/>
              <w:jc w:val="left"/>
            </w:pPr>
            <w:r>
              <w:t xml:space="preserve">60,000</w:t>
            </w:r>
          </w:p>
        </w:tc>
      </w:tr>
      <w:tr>
        <w:tc>
          <w:tcPr>
            <w:gridSpan w:val="4"/>
          </w:tcPr>
          <w:p>
            <w:pPr>
              <w:pStyle w:val="Compact"/>
              <w:jc w:val="left"/>
            </w:pPr>
            <w:r>
              <w:t xml:space="preserve">TOTAL QUOTATION ESTIMATE (before IVA 21%)</w:t>
            </w:r>
          </w:p>
        </w:tc>
        <w:tc>
          <w:tcPr/>
          <w:p>
            <w:pPr>
              <w:pStyle w:val="Compact"/>
              <w:jc w:val="left"/>
            </w:pPr>
            <w:r>
              <w:t xml:space="preserve">5,955,000</w:t>
            </w:r>
          </w:p>
        </w:tc>
      </w:tr>
      <w:tr>
        <w:tc>
          <w:tcPr>
            <w:gridSpan w:val="4"/>
          </w:tcPr>
          <w:p>
            <w:pPr>
              <w:pStyle w:val="Compact"/>
              <w:jc w:val="left"/>
            </w:pPr>
            <w:r>
              <w:t xml:space="preserve">IVA (21%)</w:t>
            </w:r>
          </w:p>
        </w:tc>
        <w:tc>
          <w:tcPr/>
          <w:p>
            <w:pPr>
              <w:pStyle w:val="Compact"/>
              <w:jc w:val="left"/>
            </w:pPr>
            <w:r>
              <w:t xml:space="preserve">1,250,550</w:t>
            </w:r>
          </w:p>
        </w:tc>
      </w:tr>
      <w:tr>
        <w:tc>
          <w:tcPr>
            <w:gridSpan w:val="4"/>
          </w:tcPr>
          <w:p>
            <w:pPr>
              <w:pStyle w:val="Compact"/>
              <w:jc w:val="left"/>
            </w:pPr>
            <w:r>
              <w:t xml:space="preserve">GRAND TOTAL</w:t>
            </w:r>
          </w:p>
        </w:tc>
        <w:tc>
          <w:tcPr/>
          <w:p>
            <w:pPr>
              <w:pStyle w:val="Compact"/>
              <w:jc w:val="left"/>
            </w:pPr>
            <w:r>
              <w:t xml:space="preserve">7,205,550 ARS</w:t>
            </w:r>
          </w:p>
        </w:tc>
      </w:tr>
    </w:tbl>
    <w:p>
      <w:pPr>
        <w:pStyle w:val="BodyText"/>
      </w:pPr>
      <w:r>
        <w:t xml:space="preserve">4. Payment Terms</w:t>
      </w:r>
    </w:p>
    <w:p>
      <w:pPr>
        <w:pStyle w:val="BodyText"/>
      </w:pPr>
      <w:r>
        <w:t xml:space="preserve">As outlined in this</w:t>
      </w:r>
      <w:r>
        <w:t xml:space="preserve"> </w:t>
      </w:r>
      <w:r>
        <w:t xml:space="preserve">Quotation Estimate</w:t>
      </w:r>
      <w:r>
        <w:t xml:space="preserve">, payment shall be structured as follows: a 40% advance payment (ARS 2,882,220) due upon acceptance of this</w:t>
      </w:r>
      <w:r>
        <w:t xml:space="preserve"> </w:t>
      </w:r>
      <w:r>
        <w:t xml:space="preserve">Quotation Estimate</w:t>
      </w:r>
      <w:r>
        <w:t xml:space="preserve"> </w:t>
      </w:r>
      <w:r>
        <w:t xml:space="preserve">and prior to the</w:t>
      </w:r>
      <w:r>
        <w:t xml:space="preserve"> </w:t>
      </w:r>
      <w:r>
        <w:t xml:space="preserve">Carpenter</w:t>
      </w:r>
      <w:r>
        <w:t xml:space="preserve"> </w:t>
      </w:r>
      <w:r>
        <w:t xml:space="preserve">team commencing fabrication; a 35% interim payment (ARS 2,521,942) due upon completion of all workshop fabrication and prior to on-site installation; and a final 25% balance (ARS 1,801,388) due upon full installation, final inspection, and client sign-off in</w:t>
      </w:r>
      <w:r>
        <w:t xml:space="preserve"> </w:t>
      </w:r>
      <w:r>
        <w:t xml:space="preserve">Argentina Córdoba</w:t>
      </w:r>
      <w:r>
        <w:t xml:space="preserve">. All payments shall be made via bank transfer to the account specified on the official invoice. The</w:t>
      </w:r>
      <w:r>
        <w:t xml:space="preserve"> </w:t>
      </w:r>
      <w:r>
        <w:t xml:space="preserve">Carpenter</w:t>
      </w:r>
      <w:r>
        <w:t xml:space="preserve"> </w:t>
      </w:r>
      <w:r>
        <w:t xml:space="preserve">workshop will issue a formal factura A for each payment tranche in compliance with Argentine tax regulations.</w:t>
      </w:r>
    </w:p>
    <w:p>
      <w:pPr>
        <w:pStyle w:val="BodyText"/>
      </w:pPr>
      <w:r>
        <w:t xml:space="preserve">5. Timeline and Delivery</w:t>
      </w:r>
    </w:p>
    <w:p>
      <w:pPr>
        <w:pStyle w:val="BodyText"/>
      </w:pPr>
      <w:r>
        <w:t xml:space="preserve">The</w:t>
      </w:r>
      <w:r>
        <w:t xml:space="preserve"> </w:t>
      </w:r>
      <w:r>
        <w:t xml:space="preserve">Carpenter</w:t>
      </w:r>
      <w:r>
        <w:t xml:space="preserve"> </w:t>
      </w:r>
      <w:r>
        <w:t xml:space="preserve">project is estimated to require a total of 35 working days from the date of contract execution. Workshop fabrication will take approximately 20 working days, followed by 10 working days for on-site installation and finishing, and 5 working days reserved for quality assurance, minor adjustments, and final client walkthrough. The</w:t>
      </w:r>
      <w:r>
        <w:t xml:space="preserve"> </w:t>
      </w:r>
      <w:r>
        <w:t xml:space="preserve">Carpenter</w:t>
      </w:r>
      <w:r>
        <w:t xml:space="preserve"> </w:t>
      </w:r>
      <w:r>
        <w:t xml:space="preserve">team in</w:t>
      </w:r>
      <w:r>
        <w:t xml:space="preserve"> </w:t>
      </w:r>
      <w:r>
        <w:t xml:space="preserve">Argentina Córdoba</w:t>
      </w:r>
      <w:r>
        <w:t xml:space="preserve"> </w:t>
      </w:r>
      <w:r>
        <w:t xml:space="preserve">will provide weekly progress updates via email and will schedule a mid-project inspection with the client. This</w:t>
      </w:r>
      <w:r>
        <w:t xml:space="preserve"> </w:t>
      </w:r>
      <w:r>
        <w:t xml:space="preserve">Quotation Estimate</w:t>
      </w:r>
      <w:r>
        <w:t xml:space="preserve"> </w:t>
      </w:r>
      <w:r>
        <w:t xml:space="preserve">assumes standard working hours (Monday to Friday, 08:00 to 17:00) and does not include work on Argentine public holidays.</w:t>
      </w:r>
    </w:p>
    <w:p>
      <w:pPr>
        <w:pStyle w:val="BodyText"/>
      </w:pPr>
      <w:r>
        <w:t xml:space="preserve">6.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 prices may be adjusted to reflect changes in material costs or exchange rates applicable in</w:t>
      </w:r>
      <w:r>
        <w:t xml:space="preserve"> </w:t>
      </w:r>
      <w:r>
        <w:t xml:space="preserve">Argentina Córdoba</w:t>
      </w:r>
      <w:r>
        <w:t xml:space="preserve">.</w:t>
      </w:r>
    </w:p>
    <w:p>
      <w:pPr>
        <w:numPr>
          <w:ilvl w:val="0"/>
          <w:numId w:val="1001"/>
        </w:numPr>
        <w:pStyle w:val="Compact"/>
      </w:pPr>
      <w:r>
        <w:t xml:space="preserve">The</w:t>
      </w:r>
      <w:r>
        <w:t xml:space="preserve"> </w:t>
      </w:r>
      <w:r>
        <w:t xml:space="preserve">Carpenter</w:t>
      </w:r>
      <w:r>
        <w:t xml:space="preserve"> </w:t>
      </w:r>
      <w:r>
        <w:t xml:space="preserve">workshop guarantees all workmanship for a period of twenty-four (24) months from the date of final acceptance. This warranty covers structural integrity, joint stability, and hardware functionality but does not cover damage caused by misuse, water exposure, or unauthorized modifications.</w:t>
      </w:r>
    </w:p>
    <w:p>
      <w:pPr>
        <w:numPr>
          <w:ilvl w:val="0"/>
          <w:numId w:val="1001"/>
        </w:numPr>
        <w:pStyle w:val="Compact"/>
      </w:pPr>
      <w:r>
        <w:t xml:space="preserve">All materials specified in this</w:t>
      </w:r>
      <w:r>
        <w:t xml:space="preserve"> </w:t>
      </w:r>
      <w:r>
        <w:t xml:space="preserve">Quotation Estimate</w:t>
      </w:r>
      <w:r>
        <w:t xml:space="preserve"> </w:t>
      </w:r>
      <w:r>
        <w:t xml:space="preserve">are subject to natural variation in grain, color, and texture inherent to hardwood species. The</w:t>
      </w:r>
      <w:r>
        <w:t xml:space="preserve"> </w:t>
      </w:r>
      <w:r>
        <w:t xml:space="preserve">Carpenter</w:t>
      </w:r>
      <w:r>
        <w:t xml:space="preserve"> </w:t>
      </w:r>
      <w:r>
        <w:t xml:space="preserve">team will present material samples for client approval prior to fabrication.</w:t>
      </w:r>
    </w:p>
    <w:p>
      <w:pPr>
        <w:numPr>
          <w:ilvl w:val="0"/>
          <w:numId w:val="1001"/>
        </w:numPr>
        <w:pStyle w:val="Compact"/>
      </w:pPr>
      <w:r>
        <w:t xml:space="preserve">Any changes to the scope of work requested after this</w:t>
      </w:r>
      <w:r>
        <w:t xml:space="preserve"> </w:t>
      </w:r>
      <w:r>
        <w:t xml:space="preserve">Quotation Estimate</w:t>
      </w:r>
      <w:r>
        <w:t xml:space="preserve"> </w:t>
      </w:r>
      <w:r>
        <w:t xml:space="preserve">has been accepted will require a written change order and may result in additional costs and timeline extensions.</w:t>
      </w:r>
    </w:p>
    <w:p>
      <w:pPr>
        <w:numPr>
          <w:ilvl w:val="0"/>
          <w:numId w:val="1001"/>
        </w:numPr>
        <w:pStyle w:val="Compact"/>
      </w:pPr>
      <w:r>
        <w:t xml:space="preserve">The</w:t>
      </w:r>
      <w:r>
        <w:t xml:space="preserve"> </w:t>
      </w:r>
      <w:r>
        <w:t xml:space="preserve">Carpenter</w:t>
      </w:r>
      <w:r>
        <w:t xml:space="preserve"> </w:t>
      </w:r>
      <w:r>
        <w:t xml:space="preserve">contractor is fully insured under Argentine law (Seguro de Responsabilidad Civil) for all operations conducted within the</w:t>
      </w:r>
      <w:r>
        <w:t xml:space="preserve"> </w:t>
      </w:r>
      <w:r>
        <w:t xml:space="preserve">Argentina Córdoba</w:t>
      </w:r>
      <w:r>
        <w:t xml:space="preserve"> </w:t>
      </w:r>
      <w:r>
        <w:t xml:space="preserve">jurisdiction.</w:t>
      </w:r>
    </w:p>
    <w:p>
      <w:pPr>
        <w:numPr>
          <w:ilvl w:val="0"/>
          <w:numId w:val="1001"/>
        </w:numPr>
        <w:pStyle w:val="Compact"/>
      </w:pPr>
      <w:r>
        <w:t xml:space="preserve">This</w:t>
      </w:r>
      <w:r>
        <w:t xml:space="preserve"> </w:t>
      </w:r>
      <w:r>
        <w:t xml:space="preserve">Quotation Estimate</w:t>
      </w:r>
      <w:r>
        <w:t xml:space="preserve"> </w:t>
      </w:r>
      <w:r>
        <w:t xml:space="preserve">is governed by the Civil and Commercial Code of the Argentine Nation and the applicable municipal regulations of the city of</w:t>
      </w:r>
      <w:r>
        <w:t xml:space="preserve"> </w:t>
      </w:r>
      <w:r>
        <w:t xml:space="preserve">Argentina Córdoba</w:t>
      </w:r>
      <w:r>
        <w:t xml:space="preserve">.</w:t>
      </w:r>
    </w:p>
    <w:p>
      <w:pPr>
        <w:pStyle w:val="FirstParagraph"/>
      </w:pPr>
      <w:r>
        <w:t xml:space="preserve">7. Acceptance and Signatures</w:t>
      </w:r>
    </w:p>
    <w:p>
      <w:pPr>
        <w:pStyle w:val="BodyText"/>
      </w:pPr>
      <w:r>
        <w:t xml:space="preserve">By signing below, both parties acknowledge that they have read, understood, and agree to all terms and conditions set forth in this</w:t>
      </w:r>
      <w:r>
        <w:t xml:space="preserve"> </w:t>
      </w:r>
      <w:r>
        <w:t xml:space="preserve">Quotation Estimate</w:t>
      </w:r>
      <w:r>
        <w:t xml:space="preserve">. The</w:t>
      </w:r>
      <w:r>
        <w:t xml:space="preserve"> </w:t>
      </w:r>
      <w:r>
        <w:t xml:space="preserve">Carpenter</w:t>
      </w:r>
      <w:r>
        <w:t xml:space="preserve"> </w:t>
      </w:r>
      <w:r>
        <w:t xml:space="preserve">services described herein will be executed in the city of</w:t>
      </w:r>
      <w:r>
        <w:t xml:space="preserve"> </w:t>
      </w:r>
      <w:r>
        <w:t xml:space="preserve">Argentina Córdoba</w:t>
      </w:r>
      <w:r>
        <w:t xml:space="preserve"> </w:t>
      </w:r>
      <w:r>
        <w:t xml:space="preserve">in accordance with the specifications, timeline, and pricing outlined in this document.</w:t>
      </w:r>
    </w:p>
    <w:p>
      <w:pPr>
        <w:pStyle w:val="BodyText"/>
      </w:pPr>
      <w:r>
        <w:rPr>
          <w:bCs/>
          <w:b/>
        </w:rPr>
        <w:t xml:space="preserve">Provider</w:t>
      </w:r>
      <w:r>
        <w:br/>
      </w:r>
      <w:r>
        <w:t xml:space="preserve">Mañanía &amp; Hijo Carpintería S.R.L.</w:t>
      </w:r>
      <w:r>
        <w:br/>
      </w:r>
      <w:r>
        <w:rPr>
          <w:iCs/>
          <w:i/>
        </w:rPr>
        <w:t xml:space="preserve">Authorized Representative — Carpenter Workshop, Argentina Córdoba</w:t>
      </w:r>
      <w:r>
        <w:br/>
      </w:r>
      <w:r>
        <w:t xml:space="preserve">Date: _______________</w:t>
      </w:r>
    </w:p>
    <w:p>
      <w:pPr>
        <w:pStyle w:val="BodyText"/>
      </w:pPr>
      <w:r>
        <w:rPr>
          <w:bCs/>
          <w:b/>
        </w:rPr>
        <w:t xml:space="preserve">Client</w:t>
      </w:r>
      <w:r>
        <w:br/>
      </w:r>
      <w:r>
        <w:t xml:space="preserve">Ing. Roberto Sánchez Pérez</w:t>
      </w:r>
      <w:r>
        <w:br/>
      </w:r>
      <w:r>
        <w:rPr>
          <w:iCs/>
          <w:i/>
        </w:rPr>
        <w:t xml:space="preserve">Acceptance of Quotation Estimate</w:t>
      </w:r>
      <w:r>
        <w:br/>
      </w:r>
      <w:r>
        <w:t xml:space="preserve">Date: _______________</w:t>
      </w:r>
    </w:p>
    <w:p>
      <w:pPr>
        <w:pStyle w:val="BodyText"/>
      </w:pPr>
      <w:r>
        <w:t xml:space="preserve">Quotation Estimate QE-CBA-2025-0478 — Issued by Mañanía &amp; Hijo Carpintería S.R.L., Argentina Córdoba</w:t>
      </w:r>
      <w:r>
        <w:br/>
      </w:r>
      <w:r>
        <w:t xml:space="preserve">This document is a formal Quotation Estimate for Carpenter services and is valid for 30 days from the date of issue.</w:t>
      </w:r>
      <w:r>
        <w:br/>
      </w:r>
      <w:r>
        <w:t xml:space="preserve">© 2025 Mañanía &amp; Hijo Carpintería S.R.L.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Carpenter Services - Argentina Córdoba</dc:title>
  <dc:creator/>
  <dc:language>en</dc:language>
  <cp:keywords/>
  <dcterms:created xsi:type="dcterms:W3CDTF">2026-10-10T02:56:58Z</dcterms:created>
  <dcterms:modified xsi:type="dcterms:W3CDTF">2026-10-10T02:56:58Z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