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Dhaka Craft &amp; Woodworks Ltd.</w:t>
      </w:r>
    </w:p>
    <w:p>
      <w:pPr>
        <w:pStyle w:val="BodyText"/>
      </w:pPr>
      <w:r>
        <w:t xml:space="preserve">House 42, Road 11, Banani,</w:t>
      </w:r>
      <w:r>
        <w:t xml:space="preserve"> </w:t>
      </w:r>
      <w:r>
        <w:t xml:space="preserve">Bangladesh Dhaka</w:t>
      </w:r>
      <w:r>
        <w:t xml:space="preserve"> </w:t>
      </w:r>
      <w:r>
        <w:t xml:space="preserve">1213</w:t>
      </w:r>
    </w:p>
    <w:p>
      <w:pPr>
        <w:pStyle w:val="BodyText"/>
      </w:pPr>
      <w:r>
        <w:t xml:space="preserve">Phone: +880-2-8812345 | Email: info@dhakacraftwoodworks.com</w:t>
      </w:r>
    </w:p>
    <w:p>
      <w:pPr>
        <w:pStyle w:val="BodyText"/>
      </w:pPr>
      <w:r>
        <w:t xml:space="preserve">VAT Registration No.: 001234567-0201</w:t>
      </w:r>
    </w:p>
    <w:bookmarkEnd w:id="20"/>
    <w:p>
      <w:pPr>
        <w:pStyle w:val="BodyText"/>
      </w:pPr>
      <w:r>
        <w:rPr>
          <w:bCs/>
          <w:b/>
        </w:rPr>
        <w:t xml:space="preserve">Quotation No.:</w:t>
      </w:r>
      <w:r>
        <w:t xml:space="preserve"> </w:t>
      </w:r>
      <w:r>
        <w:t xml:space="preserve">QTE-2025-04782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Mr. Rafiqul Islam</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Rafiqul Islam</w:t>
            </w:r>
          </w:p>
        </w:tc>
      </w:tr>
      <w:tr>
        <w:tc>
          <w:tcPr/>
          <w:p>
            <w:pPr>
              <w:pStyle w:val="Compact"/>
              <w:jc w:val="left"/>
            </w:pPr>
            <w:r>
              <w:rPr>
                <w:bCs/>
                <w:b/>
              </w:rPr>
              <w:t xml:space="preserve">Address:</w:t>
            </w:r>
          </w:p>
        </w:tc>
        <w:tc>
          <w:tcPr/>
          <w:p>
            <w:pPr>
              <w:pStyle w:val="Compact"/>
              <w:jc w:val="left"/>
            </w:pPr>
            <w:r>
              <w:t xml:space="preserve">Flat 7B, Gulshan Avenue, Block C,</w:t>
            </w:r>
            <w:r>
              <w:t xml:space="preserve"> </w:t>
            </w:r>
            <w:r>
              <w:t xml:space="preserve">Bangladesh Dhaka</w:t>
            </w:r>
            <w:r>
              <w:t xml:space="preserve"> </w:t>
            </w:r>
            <w:r>
              <w:t xml:space="preserve">1212</w:t>
            </w:r>
          </w:p>
        </w:tc>
      </w:tr>
      <w:tr>
        <w:tc>
          <w:tcPr/>
          <w:p>
            <w:pPr>
              <w:pStyle w:val="Compact"/>
              <w:jc w:val="left"/>
            </w:pPr>
            <w:r>
              <w:rPr>
                <w:bCs/>
                <w:b/>
              </w:rPr>
              <w:t xml:space="preserve">Contact Number:</w:t>
            </w:r>
          </w:p>
        </w:tc>
        <w:tc>
          <w:tcPr/>
          <w:p>
            <w:pPr>
              <w:pStyle w:val="Compact"/>
              <w:jc w:val="left"/>
            </w:pPr>
            <w:r>
              <w:t xml:space="preserve">+880-1711-234567</w:t>
            </w:r>
          </w:p>
        </w:tc>
      </w:tr>
      <w:tr>
        <w:tc>
          <w:tcPr/>
          <w:p>
            <w:pPr>
              <w:pStyle w:val="Compact"/>
              <w:jc w:val="left"/>
            </w:pPr>
            <w:r>
              <w:rPr>
                <w:bCs/>
                <w:b/>
              </w:rPr>
              <w:t xml:space="preserve">Project Location:</w:t>
            </w:r>
          </w:p>
        </w:tc>
        <w:tc>
          <w:tcPr/>
          <w:p>
            <w:pPr>
              <w:pStyle w:val="Compact"/>
              <w:jc w:val="left"/>
            </w:pPr>
            <w:r>
              <w:t xml:space="preserve">Residential Apartment, Gulshan,</w:t>
            </w:r>
            <w:r>
              <w:t xml:space="preserve"> </w:t>
            </w:r>
            <w:r>
              <w:t xml:space="preserve">Bangladesh Dhaka</w:t>
            </w:r>
          </w:p>
        </w:tc>
      </w:tr>
    </w:tbl>
    <w:p>
      <w:pPr>
        <w:pStyle w:val="BodyText"/>
      </w:pPr>
      <w:r>
        <w:t xml:space="preserve">2. Scope of Work – Carpenter Services</w:t>
      </w:r>
    </w:p>
    <w:p>
      <w:pPr>
        <w:pStyle w:val="BodyText"/>
      </w:pPr>
      <w:r>
        <w:t xml:space="preserve">This</w:t>
      </w:r>
      <w:r>
        <w:t xml:space="preserve"> </w:t>
      </w:r>
      <w:r>
        <w:t xml:space="preserve">Quotation Estimate</w:t>
      </w:r>
      <w:r>
        <w:t xml:space="preserve"> </w:t>
      </w:r>
      <w:r>
        <w:t xml:space="preserve">is prepared by Dhaka Craft &amp; Woodworks Ltd. to provide comprehensive</w:t>
      </w:r>
      <w:r>
        <w:t xml:space="preserve"> </w:t>
      </w:r>
      <w:r>
        <w:t xml:space="preserve">Carpenter</w:t>
      </w:r>
      <w:r>
        <w:t xml:space="preserve"> </w:t>
      </w:r>
      <w:r>
        <w:t xml:space="preserve">services for the residential renovation project located in</w:t>
      </w:r>
      <w:r>
        <w:t xml:space="preserve"> </w:t>
      </w:r>
      <w:r>
        <w:t xml:space="preserve">Bangladesh Dhaka</w:t>
      </w:r>
      <w:r>
        <w:t xml:space="preserve">. Our team of experienced</w:t>
      </w:r>
      <w:r>
        <w:t xml:space="preserve"> </w:t>
      </w:r>
      <w:r>
        <w:t xml:space="preserve">Carpenter</w:t>
      </w:r>
      <w:r>
        <w:t xml:space="preserve"> </w:t>
      </w:r>
      <w:r>
        <w:t xml:space="preserve">professionals will execute all woodwork, furniture fabrication, and structural timber tasks as detailed below. The scope encompasses custom-built wardrobes, kitchen cabinetry, wooden flooring installation, door and window frame repairs, and decorative paneling throughout the three-bedroom apartment.</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Sl. 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Custom-built 6-door wardrobe with teak wood (master bedroom)</w:t>
            </w:r>
          </w:p>
        </w:tc>
        <w:tc>
          <w:tcPr/>
          <w:p>
            <w:pPr>
              <w:pStyle w:val="Compact"/>
              <w:jc w:val="left"/>
            </w:pPr>
            <w:r>
              <w:t xml:space="preserve">Set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Custom-built 4-door wardrobe (second bedroom)</w:t>
            </w:r>
          </w:p>
        </w:tc>
        <w:tc>
          <w:tcPr/>
          <w:p>
            <w:pPr>
              <w:pStyle w:val="Compact"/>
              <w:jc w:val="left"/>
            </w:pPr>
            <w:r>
              <w:t xml:space="preserve">Set</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3</w:t>
            </w:r>
          </w:p>
        </w:tc>
        <w:tc>
          <w:tcPr/>
          <w:p>
            <w:pPr>
              <w:pStyle w:val="Compact"/>
              <w:jc w:val="left"/>
            </w:pPr>
            <w:r>
              <w:t xml:space="preserve">Kitchen cabinetry – base units and wall units (solid sheesham wood)</w:t>
            </w:r>
          </w:p>
        </w:tc>
        <w:tc>
          <w:tcPr/>
          <w:p>
            <w:pPr>
              <w:pStyle w:val="Compact"/>
              <w:jc w:val="left"/>
            </w:pPr>
            <w:r>
              <w:t xml:space="preserve">Set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4</w:t>
            </w:r>
          </w:p>
        </w:tc>
        <w:tc>
          <w:tcPr/>
          <w:p>
            <w:pPr>
              <w:pStyle w:val="Compact"/>
              <w:jc w:val="left"/>
            </w:pPr>
            <w:r>
              <w:t xml:space="preserve">Engineered teak wood flooring – living room and dining area (approx. 450 sq ft)</w:t>
            </w:r>
          </w:p>
        </w:tc>
        <w:tc>
          <w:tcPr/>
          <w:p>
            <w:pPr>
              <w:pStyle w:val="Compact"/>
              <w:jc w:val="left"/>
            </w:pPr>
            <w:r>
              <w:t xml:space="preserve">Sq Ft</w:t>
            </w:r>
          </w:p>
        </w:tc>
        <w:tc>
          <w:tcPr/>
          <w:p>
            <w:pPr>
              <w:pStyle w:val="Compact"/>
              <w:jc w:val="left"/>
            </w:pPr>
            <w:r>
              <w:t xml:space="preserve">450</w:t>
            </w:r>
          </w:p>
        </w:tc>
        <w:tc>
          <w:tcPr/>
          <w:p>
            <w:pPr>
              <w:pStyle w:val="Compact"/>
              <w:jc w:val="left"/>
            </w:pPr>
            <w:r>
              <w:t xml:space="preserve">320</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Repair and refinishing of 4 main entrance and interior doors</w:t>
            </w:r>
          </w:p>
        </w:tc>
        <w:tc>
          <w:tcPr/>
          <w:p>
            <w:pPr>
              <w:pStyle w:val="Compact"/>
              <w:jc w:val="left"/>
            </w:pPr>
            <w:r>
              <w:t xml:space="preserve">Door</w:t>
            </w:r>
          </w:p>
        </w:tc>
        <w:tc>
          <w:tcPr/>
          <w:p>
            <w:pPr>
              <w:pStyle w:val="Compact"/>
              <w:jc w:val="left"/>
            </w:pPr>
            <w:r>
              <w:t xml:space="preserve">4</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6</w:t>
            </w:r>
          </w:p>
        </w:tc>
        <w:tc>
          <w:tcPr/>
          <w:p>
            <w:pPr>
              <w:pStyle w:val="Compact"/>
              <w:jc w:val="left"/>
            </w:pPr>
            <w:r>
              <w:t xml:space="preserve">Wooden window frames – replacement of 6 damaged frames (sal wood)</w:t>
            </w:r>
          </w:p>
        </w:tc>
        <w:tc>
          <w:tcPr/>
          <w:p>
            <w:pPr>
              <w:pStyle w:val="Compact"/>
              <w:jc w:val="left"/>
            </w:pPr>
            <w:r>
              <w:t xml:space="preserve">Frame</w:t>
            </w:r>
          </w:p>
        </w:tc>
        <w:tc>
          <w:tcPr/>
          <w:p>
            <w:pPr>
              <w:pStyle w:val="Compact"/>
              <w:jc w:val="left"/>
            </w:pPr>
            <w:r>
              <w:t xml:space="preserve">6</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7</w:t>
            </w:r>
          </w:p>
        </w:tc>
        <w:tc>
          <w:tcPr/>
          <w:p>
            <w:pPr>
              <w:pStyle w:val="Compact"/>
              <w:jc w:val="left"/>
            </w:pPr>
            <w:r>
              <w:t xml:space="preserve">Decorative wooden paneling – TV unit and hallway accent wall</w:t>
            </w:r>
          </w:p>
        </w:tc>
        <w:tc>
          <w:tcPr/>
          <w:p>
            <w:pPr>
              <w:pStyle w:val="Compact"/>
              <w:jc w:val="left"/>
            </w:pPr>
            <w:r>
              <w:t xml:space="preserve">Sq Ft</w:t>
            </w:r>
          </w:p>
        </w:tc>
        <w:tc>
          <w:tcPr/>
          <w:p>
            <w:pPr>
              <w:pStyle w:val="Compact"/>
              <w:jc w:val="left"/>
            </w:pPr>
            <w:r>
              <w:t xml:space="preserve">120</w:t>
            </w:r>
          </w:p>
        </w:tc>
        <w:tc>
          <w:tcPr/>
          <w:p>
            <w:pPr>
              <w:pStyle w:val="Compact"/>
              <w:jc w:val="left"/>
            </w:pPr>
            <w:r>
              <w:t xml:space="preserve">450</w:t>
            </w:r>
          </w:p>
        </w:tc>
        <w:tc>
          <w:tcPr/>
          <w:p>
            <w:pPr>
              <w:pStyle w:val="Compact"/>
              <w:jc w:val="left"/>
            </w:pPr>
            <w:r>
              <w:t xml:space="preserve">54,000</w:t>
            </w:r>
          </w:p>
        </w:tc>
      </w:tr>
      <w:tr>
        <w:tc>
          <w:tcPr/>
          <w:p>
            <w:pPr>
              <w:pStyle w:val="Compact"/>
              <w:jc w:val="left"/>
            </w:pPr>
            <w:r>
              <w:t xml:space="preserve">8</w:t>
            </w:r>
          </w:p>
        </w:tc>
        <w:tc>
          <w:tcPr/>
          <w:p>
            <w:pPr>
              <w:pStyle w:val="Compact"/>
              <w:jc w:val="left"/>
            </w:pPr>
            <w:r>
              <w:t xml:space="preserve">Study room desk with built-in shelving unit (mahogany finish)</w:t>
            </w:r>
          </w:p>
        </w:tc>
        <w:tc>
          <w:tcPr/>
          <w:p>
            <w:pPr>
              <w:pStyle w:val="Compact"/>
              <w:jc w:val="left"/>
            </w:pPr>
            <w:r>
              <w:t xml:space="preserve">Set</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9</w:t>
            </w:r>
          </w:p>
        </w:tc>
        <w:tc>
          <w:tcPr/>
          <w:p>
            <w:pPr>
              <w:pStyle w:val="Compact"/>
              <w:jc w:val="left"/>
            </w:pPr>
            <w:r>
              <w:t xml:space="preserve">Bathroom vanity unit with wooden countertop (water-resistant treatment)</w:t>
            </w:r>
          </w:p>
        </w:tc>
        <w:tc>
          <w:tcPr/>
          <w:p>
            <w:pPr>
              <w:pStyle w:val="Compact"/>
              <w:jc w:val="left"/>
            </w:pPr>
            <w:r>
              <w:t xml:space="preserve">Set</w:t>
            </w:r>
          </w:p>
        </w:tc>
        <w:tc>
          <w:tcPr/>
          <w:p>
            <w:pPr>
              <w:pStyle w:val="Compact"/>
              <w:jc w:val="left"/>
            </w:pPr>
            <w:r>
              <w:t xml:space="preserve">2</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10</w:t>
            </w:r>
          </w:p>
        </w:tc>
        <w:tc>
          <w:tcPr/>
          <w:p>
            <w:pPr>
              <w:pStyle w:val="Compact"/>
              <w:jc w:val="left"/>
            </w:pPr>
            <w:r>
              <w:t xml:space="preserve">General carpentry labor, site supervision, and finishing (paint, varnish, sanding)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right"/>
            </w:pPr>
            <w:r>
              <w:t xml:space="preserve">Subtotal:</w:t>
            </w:r>
          </w:p>
        </w:tc>
        <w:tc>
          <w:tcPr/>
          <w:p>
            <w:pPr>
              <w:pStyle w:val="Compact"/>
              <w:jc w:val="left"/>
            </w:pPr>
            <w:r>
              <w:t xml:space="preserve">735,000</w:t>
            </w:r>
          </w:p>
        </w:tc>
      </w:tr>
      <w:tr>
        <w:tc>
          <w:tcPr>
            <w:gridSpan w:val="5"/>
          </w:tcPr>
          <w:p>
            <w:pPr>
              <w:pStyle w:val="Compact"/>
              <w:jc w:val="right"/>
            </w:pPr>
            <w:r>
              <w:t xml:space="preserve">VAT (5% as applicable in Bangladesh Dhaka):</w:t>
            </w:r>
          </w:p>
        </w:tc>
        <w:tc>
          <w:tcPr/>
          <w:p>
            <w:pPr>
              <w:pStyle w:val="Compact"/>
              <w:jc w:val="left"/>
            </w:pPr>
            <w:r>
              <w:t xml:space="preserve">36,750</w:t>
            </w:r>
          </w:p>
        </w:tc>
      </w:tr>
      <w:tr>
        <w:tc>
          <w:tcPr>
            <w:gridSpan w:val="5"/>
          </w:tcPr>
          <w:p>
            <w:pPr>
              <w:pStyle w:val="Compact"/>
              <w:jc w:val="right"/>
            </w:pPr>
            <w:r>
              <w:t xml:space="preserve">Grand Total (BDT):</w:t>
            </w:r>
          </w:p>
        </w:tc>
        <w:tc>
          <w:tcPr/>
          <w:p>
            <w:pPr>
              <w:pStyle w:val="Compact"/>
              <w:jc w:val="left"/>
            </w:pPr>
            <w:r>
              <w:t xml:space="preserve">771,750</w:t>
            </w:r>
          </w:p>
        </w:tc>
      </w:tr>
    </w:tbl>
    <w:p>
      <w:pPr>
        <w:pStyle w:val="BodyText"/>
      </w:pPr>
      <w:r>
        <w:t xml:space="preserve">4. Project Timeline</w:t>
      </w:r>
    </w:p>
    <w:p>
      <w:pPr>
        <w:pStyle w:val="BodyText"/>
      </w:pPr>
      <w:r>
        <w:t xml:space="preserve">The</w:t>
      </w:r>
      <w:r>
        <w:t xml:space="preserve"> </w:t>
      </w:r>
      <w:r>
        <w:t xml:space="preserve">Carpenter</w:t>
      </w:r>
      <w:r>
        <w:t xml:space="preserve"> </w:t>
      </w:r>
      <w:r>
        <w:t xml:space="preserve">team assigned to this project in</w:t>
      </w:r>
      <w:r>
        <w:t xml:space="preserve"> </w:t>
      </w:r>
      <w:r>
        <w:t xml:space="preserve">Bangladesh Dhaka</w:t>
      </w:r>
      <w:r>
        <w:t xml:space="preserve"> </w:t>
      </w:r>
      <w:r>
        <w:t xml:space="preserve">estimates a total duration of</w:t>
      </w:r>
      <w:r>
        <w:t xml:space="preserve"> </w:t>
      </w:r>
      <w:r>
        <w:rPr>
          <w:bCs/>
          <w:b/>
        </w:rPr>
        <w:t xml:space="preserve">28 working days</w:t>
      </w:r>
      <w:r>
        <w:t xml:space="preserve"> </w:t>
      </w:r>
      <w:r>
        <w:t xml:space="preserve">from the date of material approval. The schedule includes 5 days for material procurement and site preparation, 18 days for fabrication and installation, and 5 days for finishing, quality inspection, and final handover. All work will be conducted between 8:00 AM and 6:00 PM to minimize disruption to the client's household.</w:t>
      </w:r>
    </w:p>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Prices are subject to revision after the validity period due to fluctuating timber costs in the</w:t>
      </w:r>
      <w:r>
        <w:t xml:space="preserve"> </w:t>
      </w:r>
      <w:r>
        <w:t xml:space="preserve">Bangladesh Dhaka</w:t>
      </w:r>
      <w:r>
        <w:t xml:space="preserve"> </w:t>
      </w:r>
      <w:r>
        <w:t xml:space="preserve">market.</w:t>
      </w:r>
    </w:p>
    <w:p>
      <w:pPr>
        <w:numPr>
          <w:ilvl w:val="0"/>
          <w:numId w:val="1001"/>
        </w:numPr>
        <w:pStyle w:val="Compact"/>
      </w:pPr>
      <w:r>
        <w:t xml:space="preserve">A 40% advance payment is required to confirm the order and initiate material procurement. The remaining 60% shall be payable upon completion and client sign-off.</w:t>
      </w:r>
    </w:p>
    <w:p>
      <w:pPr>
        <w:numPr>
          <w:ilvl w:val="0"/>
          <w:numId w:val="1001"/>
        </w:numPr>
        <w:pStyle w:val="Compact"/>
      </w:pPr>
      <w:r>
        <w:t xml:space="preserve">All wood materials sourced for this</w:t>
      </w:r>
      <w:r>
        <w:t xml:space="preserve"> </w:t>
      </w:r>
      <w:r>
        <w:t xml:space="preserve">Carpenter</w:t>
      </w:r>
      <w:r>
        <w:t xml:space="preserve"> </w:t>
      </w:r>
      <w:r>
        <w:t xml:space="preserve">project will be certified and free from termites, in compliance with Bangladesh Forest Department regulations.</w:t>
      </w:r>
    </w:p>
    <w:p>
      <w:pPr>
        <w:numPr>
          <w:ilvl w:val="0"/>
          <w:numId w:val="1001"/>
        </w:numPr>
        <w:pStyle w:val="Compact"/>
      </w:pPr>
      <w:r>
        <w:t xml:space="preserve">The</w:t>
      </w:r>
      <w:r>
        <w:t xml:space="preserve"> </w:t>
      </w:r>
      <w:r>
        <w:t xml:space="preserve">Carpenter</w:t>
      </w:r>
      <w:r>
        <w:t xml:space="preserve"> </w:t>
      </w:r>
      <w:r>
        <w:t xml:space="preserve">team will provide a 12-month warranty on all structural woodwork and 6-month warranty on finishing work (paint, varnish, hardware).</w:t>
      </w:r>
    </w:p>
    <w:p>
      <w:pPr>
        <w:numPr>
          <w:ilvl w:val="0"/>
          <w:numId w:val="1001"/>
        </w:numPr>
        <w:pStyle w:val="Compact"/>
      </w:pPr>
      <w:r>
        <w:t xml:space="preserve">Any additional work or design modifications requested after the initial scope approval will be quoted separately and require written consent from the client.</w:t>
      </w:r>
    </w:p>
    <w:p>
      <w:pPr>
        <w:numPr>
          <w:ilvl w:val="0"/>
          <w:numId w:val="1001"/>
        </w:numPr>
        <w:pStyle w:val="Compact"/>
      </w:pPr>
      <w:r>
        <w:t xml:space="preserve">The contractor is responsible for all safety measures on-site in accordance with the Bangladesh Labour Act 2006 and local municipal by-laws of</w:t>
      </w:r>
      <w:r>
        <w:t xml:space="preserve"> </w:t>
      </w:r>
      <w:r>
        <w:t xml:space="preserve">Bangladesh Dhaka</w:t>
      </w:r>
      <w:r>
        <w:t xml:space="preserve">.</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amicable negotiation, failing which they shall be subject to the jurisdiction of the courts in</w:t>
      </w:r>
      <w:r>
        <w:t xml:space="preserve"> </w:t>
      </w:r>
      <w:r>
        <w:t xml:space="preserve">Bangladesh Dhaka</w:t>
      </w:r>
      <w:r>
        <w:t xml:space="preserve">.</w:t>
      </w:r>
    </w:p>
    <w:p>
      <w:pPr>
        <w:pStyle w:val="FirstParagraph"/>
      </w:pPr>
      <w:r>
        <w:t xml:space="preserve">6.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(BDT)</w:t>
            </w:r>
          </w:p>
        </w:tc>
        <w:tc>
          <w:tcPr/>
          <w:p>
            <w:pPr>
              <w:pStyle w:val="Compact"/>
              <w:jc w:val="left"/>
            </w:pPr>
            <w:r>
              <w:t xml:space="preserve">Due Date</w:t>
            </w:r>
          </w:p>
        </w:tc>
      </w:tr>
      <w:tr>
        <w:tc>
          <w:tcPr/>
          <w:p>
            <w:pPr>
              <w:pStyle w:val="Compact"/>
              <w:jc w:val="left"/>
            </w:pPr>
            <w:r>
              <w:t xml:space="preserve">Advance (upon order confirmation)</w:t>
            </w:r>
          </w:p>
        </w:tc>
        <w:tc>
          <w:tcPr/>
          <w:p>
            <w:pPr>
              <w:pStyle w:val="Compact"/>
              <w:jc w:val="left"/>
            </w:pPr>
            <w:r>
              <w:t xml:space="preserve">40%</w:t>
            </w:r>
          </w:p>
        </w:tc>
        <w:tc>
          <w:tcPr/>
          <w:p>
            <w:pPr>
              <w:pStyle w:val="Compact"/>
              <w:jc w:val="left"/>
            </w:pPr>
            <w:r>
              <w:t xml:space="preserve">308,700</w:t>
            </w:r>
          </w:p>
        </w:tc>
        <w:tc>
          <w:tcPr/>
          <w:p>
            <w:pPr>
              <w:pStyle w:val="Compact"/>
              <w:jc w:val="left"/>
            </w:pPr>
            <w:r>
              <w:t xml:space="preserve">Within 3 days of approval</w:t>
            </w:r>
          </w:p>
        </w:tc>
      </w:tr>
      <w:tr>
        <w:tc>
          <w:tcPr/>
          <w:p>
            <w:pPr>
              <w:pStyle w:val="Compact"/>
              <w:jc w:val="left"/>
            </w:pPr>
            <w:r>
              <w:t xml:space="preserve">Mid-project (after flooring and cabinetry installation)</w:t>
            </w:r>
          </w:p>
        </w:tc>
        <w:tc>
          <w:tcPr/>
          <w:p>
            <w:pPr>
              <w:pStyle w:val="Compact"/>
              <w:jc w:val="left"/>
            </w:pPr>
            <w:r>
              <w:t xml:space="preserve">30%</w:t>
            </w:r>
          </w:p>
        </w:tc>
        <w:tc>
          <w:tcPr/>
          <w:p>
            <w:pPr>
              <w:pStyle w:val="Compact"/>
              <w:jc w:val="left"/>
            </w:pPr>
            <w:r>
              <w:t xml:space="preserve">231,525</w:t>
            </w:r>
          </w:p>
        </w:tc>
        <w:tc>
          <w:tcPr/>
          <w:p>
            <w:pPr>
              <w:pStyle w:val="Compact"/>
              <w:jc w:val="left"/>
            </w:pPr>
            <w:r>
              <w:t xml:space="preserve">Day 15 of project</w:t>
            </w:r>
          </w:p>
        </w:tc>
      </w:tr>
      <w:tr>
        <w:tc>
          <w:tcPr/>
          <w:p>
            <w:pPr>
              <w:pStyle w:val="Compact"/>
              <w:jc w:val="left"/>
            </w:pPr>
            <w:r>
              <w:t xml:space="preserve">Final (upon completion and handover)</w:t>
            </w:r>
          </w:p>
        </w:tc>
        <w:tc>
          <w:tcPr/>
          <w:p>
            <w:pPr>
              <w:pStyle w:val="Compact"/>
              <w:jc w:val="left"/>
            </w:pPr>
            <w:r>
              <w:t xml:space="preserve">30%</w:t>
            </w:r>
          </w:p>
        </w:tc>
        <w:tc>
          <w:tcPr/>
          <w:p>
            <w:pPr>
              <w:pStyle w:val="Compact"/>
              <w:jc w:val="left"/>
            </w:pPr>
            <w:r>
              <w:t xml:space="preserve">231,525</w:t>
            </w:r>
          </w:p>
        </w:tc>
        <w:tc>
          <w:tcPr/>
          <w:p>
            <w:pPr>
              <w:pStyle w:val="Compact"/>
              <w:jc w:val="left"/>
            </w:pPr>
            <w:r>
              <w:t xml:space="preserve">Day 28 of project</w:t>
            </w:r>
          </w:p>
        </w:tc>
      </w:tr>
    </w:tbl>
    <w:p>
      <w:pPr>
        <w:pStyle w:val="BodyText"/>
      </w:pPr>
      <w:r>
        <w:t xml:space="preserve">7. 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Carpenter</w:t>
      </w:r>
      <w:r>
        <w:t xml:space="preserve"> </w:t>
      </w:r>
      <w:r>
        <w:t xml:space="preserve">services in</w:t>
      </w:r>
      <w:r>
        <w:t xml:space="preserve"> </w:t>
      </w:r>
      <w:r>
        <w:t xml:space="preserve">Bangladesh Dhaka</w:t>
      </w:r>
      <w:r>
        <w:t xml:space="preserve"> </w:t>
      </w:r>
      <w:r>
        <w:t xml:space="preserve">as presented by Dhaka Craft &amp; Woodworks Ltd. The client confirms that all specifications, timelines, and financial terms have been reviewed and agreed upon.</w:t>
      </w:r>
    </w:p>
    <w:p>
      <w:pPr>
        <w:pStyle w:val="BodyText"/>
      </w:pPr>
      <w:r>
        <w:rPr>
          <w:bCs/>
          <w:b/>
        </w:rPr>
        <w:t xml:space="preserve">For Dhaka Craft &amp; Woodworks Ltd.</w:t>
      </w:r>
      <w:r>
        <w:br/>
      </w:r>
      <w:r>
        <w:t xml:space="preserve">Authorized Signatory</w:t>
      </w:r>
      <w:r>
        <w:br/>
      </w:r>
      <w:r>
        <w:t xml:space="preserve">Name: Md. Abdul Karim</w:t>
      </w:r>
      <w:r>
        <w:br/>
      </w:r>
      <w:r>
        <w:t xml:space="preserve">Designation: Project Manager</w:t>
      </w:r>
    </w:p>
    <w:p>
      <w:pPr>
        <w:pStyle w:val="BodyText"/>
      </w:pPr>
      <w:r>
        <w:rPr>
          <w:bCs/>
          <w:b/>
        </w:rPr>
        <w:t xml:space="preserve">Client Acceptance</w:t>
      </w:r>
      <w:r>
        <w:br/>
      </w:r>
      <w:r>
        <w:t xml:space="preserve">Name: Mr. Rafiqul Islam</w:t>
      </w:r>
      <w:r>
        <w:br/>
      </w:r>
      <w:r>
        <w:t xml:space="preserve">Signature &amp; Date: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a non-binding document until formally accepted in writing by both parties. All rates are quoted in Bangladeshi Taka (BDT) and are exclusive of any municipal taxes levied by the Dhaka North City Corporation or Dhaka South City Corporation. The</w:t>
      </w:r>
      <w:r>
        <w:t xml:space="preserve"> </w:t>
      </w:r>
      <w:r>
        <w:t xml:space="preserve">Carpenter</w:t>
      </w:r>
      <w:r>
        <w:t xml:space="preserve"> </w:t>
      </w:r>
      <w:r>
        <w:t xml:space="preserve">services described herein are specific to the project location in</w:t>
      </w:r>
      <w:r>
        <w:t xml:space="preserve"> </w:t>
      </w:r>
      <w:r>
        <w:t xml:space="preserve">Bangladesh Dhaka</w:t>
      </w:r>
      <w:r>
        <w:t xml:space="preserve"> </w:t>
      </w:r>
      <w:r>
        <w:t xml:space="preserve">and cannot be transferred to other addresses without a revised quotation.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Bangladesh Dhaka</dc:title>
  <dc:creator/>
  <dc:language>en</dc:language>
  <cp:keywords/>
  <dcterms:created xsi:type="dcterms:W3CDTF">2026-10-10T02:37:17Z</dcterms:created>
  <dcterms:modified xsi:type="dcterms:W3CDTF">2026-10-10T02:37:17Z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