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Carpenter Services &amp; Woodwork Solutions</w:t>
      </w:r>
    </w:p>
    <w:p>
      <w:pPr>
        <w:pStyle w:val="BodyText"/>
      </w:pPr>
      <w:r>
        <w:t xml:space="preserve">Medellín, Antioquia, Colombia</w:t>
      </w:r>
    </w:p>
    <w:p>
      <w:pPr>
        <w:pStyle w:val="BodyText"/>
      </w:pPr>
      <w:r>
        <w:t xml:space="preserve">Quotation No.: QTE-MDE-2025-04782</w:t>
      </w:r>
    </w:p>
    <w:p>
      <w:pPr>
        <w:pStyle w:val="BodyText"/>
      </w:pPr>
      <w:r>
        <w:t xml:space="preserve">Date of Issue: June 12, 2025</w:t>
      </w:r>
    </w:p>
    <w:p>
      <w:pPr>
        <w:pStyle w:val="BodyText"/>
      </w:pPr>
      <w:r>
        <w:t xml:space="preserve">Valid Until: July 12, 2025</w:t>
      </w:r>
    </w:p>
    <w:p>
      <w:pPr>
        <w:pStyle w:val="BodyText"/>
      </w:pPr>
      <w:r>
        <w:t xml:space="preserve">Carpenter Services – Colombia Medellín</w:t>
      </w:r>
    </w:p>
    <w:bookmarkEnd w:id="20"/>
    <w:p>
      <w:pPr>
        <w:pStyle w:val="BodyText"/>
      </w:pPr>
      <w:r>
        <w:t xml:space="preserve">1. PARTIES INVOLVED</w:t>
      </w:r>
    </w:p>
    <w:bookmarkStart w:id="21" w:name="service-provider-carpenter"/>
    <w:p>
      <w:pPr>
        <w:pStyle w:val="Heading3"/>
      </w:pPr>
      <w:r>
        <w:t xml:space="preserve">Service Provider (Carpenter)</w:t>
      </w:r>
    </w:p>
    <w:p>
      <w:pPr>
        <w:pStyle w:val="FirstParagraph"/>
      </w:pPr>
      <w:r>
        <w:rPr>
          <w:bCs/>
          <w:b/>
        </w:rPr>
        <w:t xml:space="preserve">Company:</w:t>
      </w:r>
      <w:r>
        <w:t xml:space="preserve"> </w:t>
      </w:r>
      <w:r>
        <w:t xml:space="preserve">Taller de Carpintería Los Robles S.A.S.</w:t>
      </w:r>
    </w:p>
    <w:p>
      <w:pPr>
        <w:pStyle w:val="BodyText"/>
      </w:pPr>
      <w:r>
        <w:rPr>
          <w:bCs/>
          <w:b/>
        </w:rPr>
        <w:t xml:space="preserve">Lead Carpenter:</w:t>
      </w:r>
      <w:r>
        <w:t xml:space="preserve"> </w:t>
      </w:r>
      <w:r>
        <w:t xml:space="preserve">Ing. Carlos Alberto Restrepo M.</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43 # 52A-18, Barrio El Poblado, Medellín, Antioquia,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cotizaciones@carpinterialosrobles.co</w:t>
      </w:r>
    </w:p>
    <w:bookmarkEnd w:id="21"/>
    <w:bookmarkStart w:id="22" w:name="client"/>
    <w:p>
      <w:pPr>
        <w:pStyle w:val="Heading3"/>
      </w:pPr>
      <w:r>
        <w:t xml:space="preserve">Client</w:t>
      </w:r>
    </w:p>
    <w:p>
      <w:pPr>
        <w:pStyle w:val="FirstParagraph"/>
      </w:pPr>
      <w:r>
        <w:rPr>
          <w:bCs/>
          <w:b/>
        </w:rPr>
        <w:t xml:space="preserve">Company:</w:t>
      </w:r>
      <w:r>
        <w:t xml:space="preserve"> </w:t>
      </w:r>
      <w:r>
        <w:t xml:space="preserve">Hotel Andino Suites S.A.S.</w:t>
      </w:r>
    </w:p>
    <w:p>
      <w:pPr>
        <w:pStyle w:val="BodyText"/>
      </w:pPr>
      <w:r>
        <w:rPr>
          <w:bCs/>
          <w:b/>
        </w:rPr>
        <w:t xml:space="preserve">Contact Person:</w:t>
      </w:r>
      <w:r>
        <w:t xml:space="preserve"> </w:t>
      </w:r>
      <w:r>
        <w:t xml:space="preserve">Lic. María Fernanda Ospina</w:t>
      </w:r>
    </w:p>
    <w:p>
      <w:pPr>
        <w:pStyle w:val="BodyText"/>
      </w:pPr>
      <w:r>
        <w:rPr>
          <w:bCs/>
          <w:b/>
        </w:rPr>
        <w:t xml:space="preserve">NIT:</w:t>
      </w:r>
      <w:r>
        <w:t xml:space="preserve"> </w:t>
      </w:r>
      <w:r>
        <w:t xml:space="preserve">830.987.654-1</w:t>
      </w:r>
    </w:p>
    <w:p>
      <w:pPr>
        <w:pStyle w:val="BodyText"/>
      </w:pPr>
      <w:r>
        <w:rPr>
          <w:bCs/>
          <w:b/>
        </w:rPr>
        <w:t xml:space="preserve">Address:</w:t>
      </w:r>
      <w:r>
        <w:t xml:space="preserve"> </w:t>
      </w:r>
      <w:r>
        <w:t xml:space="preserve">Cra. 43A # 6-55, Barrio La Candelaria, Medellín, Antioquia, Colombia</w:t>
      </w:r>
    </w:p>
    <w:p>
      <w:pPr>
        <w:pStyle w:val="BodyText"/>
      </w:pPr>
      <w:r>
        <w:rPr>
          <w:bCs/>
          <w:b/>
        </w:rPr>
        <w:t xml:space="preserve">Phone:</w:t>
      </w:r>
      <w:r>
        <w:t xml:space="preserve"> </w:t>
      </w:r>
      <w:r>
        <w:t xml:space="preserve">+57 (604) 333 2211</w:t>
      </w:r>
    </w:p>
    <w:p>
      <w:pPr>
        <w:pStyle w:val="BodyText"/>
      </w:pPr>
      <w:r>
        <w:rPr>
          <w:bCs/>
          <w:b/>
        </w:rPr>
        <w:t xml:space="preserve">Email:</w:t>
      </w:r>
      <w:r>
        <w:t xml:space="preserve"> </w:t>
      </w:r>
      <w:r>
        <w:t xml:space="preserve">compras@hotelandinousuites.co</w:t>
      </w:r>
    </w:p>
    <w:bookmarkEnd w:id="22"/>
    <w:p>
      <w:pPr>
        <w:pStyle w:val="BodyText"/>
      </w:pPr>
      <w:r>
        <w:t xml:space="preserve">2. SCOPE OF WORK – CARPENTER PROJECT DESCRIPTION</w:t>
      </w:r>
    </w:p>
    <w:p>
      <w:pPr>
        <w:pStyle w:val="BodyText"/>
      </w:pPr>
      <w:r>
        <w:t xml:space="preserve">This Quotation Estimate is issued by our certified Carpenter team to provide comprehensive woodwork and carpentry services for the renovation of the lobby, reception area, and twelve (12) guest rooms at Hotel Andino Suites, located in the heart of Colombia Medellín. The project encompasses custom furniture fabrication, interior wood paneling, built-in storage solutions, and finishing work using premium hardwoods sourced from certified sustainable forestry operations in the Antioquia region.</w:t>
      </w:r>
    </w:p>
    <w:p>
      <w:pPr>
        <w:pStyle w:val="BodyText"/>
      </w:pPr>
      <w:r>
        <w:t xml:space="preserve">The Carpenter assigned to this project, Ing. Carlos Alberto Restrepo M., holds over twenty-two years of professional experience in residential and commercial carpentry within the Medellín metropolitan area. All work will comply with the Colombian National Technical Standards (NTC) for woodwork and construction, as well as the municipal building regulations established by the Alcaldía de Medellín.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Custom walnut wood reception desk (3.2m x 1.1m x 1.05m) with integrated LED lighting and cable management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Interior wood paneling in natural oak – lobby walls (approx. 185 sq. meters)</w:t>
            </w:r>
          </w:p>
        </w:tc>
        <w:tc>
          <w:tcPr/>
          <w:p>
            <w:pPr>
              <w:pStyle w:val="Compact"/>
              <w:jc w:val="left"/>
            </w:pPr>
            <w:r>
              <w:t xml:space="preserve">sq. m</w:t>
            </w:r>
          </w:p>
        </w:tc>
        <w:tc>
          <w:tcPr/>
          <w:p>
            <w:pPr>
              <w:pStyle w:val="Compact"/>
              <w:jc w:val="left"/>
            </w:pPr>
            <w:r>
              <w:t xml:space="preserve">185</w:t>
            </w:r>
          </w:p>
        </w:tc>
        <w:tc>
          <w:tcPr/>
          <w:p>
            <w:pPr>
              <w:pStyle w:val="Compact"/>
              <w:jc w:val="left"/>
            </w:pPr>
            <w:r>
              <w:t xml:space="preserve">145,000</w:t>
            </w:r>
          </w:p>
        </w:tc>
        <w:tc>
          <w:tcPr/>
          <w:p>
            <w:pPr>
              <w:pStyle w:val="Compact"/>
              <w:jc w:val="left"/>
            </w:pPr>
            <w:r>
              <w:t xml:space="preserve">26,825,000</w:t>
            </w:r>
          </w:p>
        </w:tc>
      </w:tr>
      <w:tr>
        <w:tc>
          <w:tcPr/>
          <w:p>
            <w:pPr>
              <w:pStyle w:val="Compact"/>
              <w:jc w:val="left"/>
            </w:pPr>
            <w:r>
              <w:t xml:space="preserve">3</w:t>
            </w:r>
          </w:p>
        </w:tc>
        <w:tc>
          <w:tcPr/>
          <w:p>
            <w:pPr>
              <w:pStyle w:val="Compact"/>
              <w:jc w:val="left"/>
            </w:pPr>
            <w:r>
              <w:t xml:space="preserve">Built-in wardrobe systems per guest room (2.4m x 1.8m x 0.65m) with sliding doors and interior shelving</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Custom bedside tables and writing desks per guest room (cedar wood, hand-finished)</w:t>
            </w:r>
          </w:p>
        </w:tc>
        <w:tc>
          <w:tcPr/>
          <w:p>
            <w:pPr>
              <w:pStyle w:val="Compact"/>
              <w:jc w:val="left"/>
            </w:pPr>
            <w:r>
              <w:t xml:space="preserve">Set</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5</w:t>
            </w:r>
          </w:p>
        </w:tc>
        <w:tc>
          <w:tcPr/>
          <w:p>
            <w:pPr>
              <w:pStyle w:val="Compact"/>
              <w:jc w:val="left"/>
            </w:pPr>
            <w:r>
              <w:t xml:space="preserve">Wooden staircase railing and balustrade replacement (18 steps, mahogany)</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6</w:t>
            </w:r>
          </w:p>
        </w:tc>
        <w:tc>
          <w:tcPr/>
          <w:p>
            <w:pPr>
              <w:pStyle w:val="Compact"/>
              <w:jc w:val="left"/>
            </w:pPr>
            <w:r>
              <w:t xml:space="preserve">Custom bar counter and back-bar shelving for the hotel lounge (teak wood, 4.5m linear)</w:t>
            </w:r>
          </w:p>
        </w:tc>
        <w:tc>
          <w:tcPr/>
          <w:p>
            <w:pPr>
              <w:pStyle w:val="Compact"/>
              <w:jc w:val="left"/>
            </w:pPr>
            <w:r>
              <w:t xml:space="preserve">Unit</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7</w:t>
            </w:r>
          </w:p>
        </w:tc>
        <w:tc>
          <w:tcPr/>
          <w:p>
            <w:pPr>
              <w:pStyle w:val="Compact"/>
              <w:jc w:val="left"/>
            </w:pPr>
            <w:r>
              <w:t xml:space="preserve">Doors and door frames – solid wood (12 guest rooms + 4 service areas), including hardware installation</w:t>
            </w:r>
          </w:p>
        </w:tc>
        <w:tc>
          <w:tcPr/>
          <w:p>
            <w:pPr>
              <w:pStyle w:val="Compact"/>
              <w:jc w:val="left"/>
            </w:pPr>
            <w:r>
              <w:t xml:space="preserve">Unit</w:t>
            </w:r>
          </w:p>
        </w:tc>
        <w:tc>
          <w:tcPr/>
          <w:p>
            <w:pPr>
              <w:pStyle w:val="Compact"/>
              <w:jc w:val="left"/>
            </w:pPr>
            <w:r>
              <w:t xml:space="preserve">16</w:t>
            </w:r>
          </w:p>
        </w:tc>
        <w:tc>
          <w:tcPr/>
          <w:p>
            <w:pPr>
              <w:pStyle w:val="Compact"/>
              <w:jc w:val="left"/>
            </w:pPr>
            <w:r>
              <w:t xml:space="preserve">1,450,000</w:t>
            </w:r>
          </w:p>
        </w:tc>
        <w:tc>
          <w:tcPr/>
          <w:p>
            <w:pPr>
              <w:pStyle w:val="Compact"/>
              <w:jc w:val="left"/>
            </w:pPr>
            <w:r>
              <w:t xml:space="preserve">23,200,000</w:t>
            </w:r>
          </w:p>
        </w:tc>
      </w:tr>
      <w:tr>
        <w:tc>
          <w:tcPr/>
          <w:p>
            <w:pPr>
              <w:pStyle w:val="Compact"/>
              <w:jc w:val="left"/>
            </w:pPr>
            <w:r>
              <w:t xml:space="preserve">8</w:t>
            </w:r>
          </w:p>
        </w:tc>
        <w:tc>
          <w:tcPr/>
          <w:p>
            <w:pPr>
              <w:pStyle w:val="Compact"/>
              <w:jc w:val="left"/>
            </w:pPr>
            <w:r>
              <w:t xml:space="preserve">Finishing, sanding, and application of three coats of water-based polyurethane varnish on all woodwork</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9</w:t>
            </w:r>
          </w:p>
        </w:tc>
        <w:tc>
          <w:tcPr/>
          <w:p>
            <w:pPr>
              <w:pStyle w:val="Compact"/>
              <w:jc w:val="left"/>
            </w:pPr>
            <w:r>
              <w:t xml:space="preserve">On-site supervision, project management, and final quality inspection by lead Carpenter</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Waste removal, site cleanup, and disposal in compliance with Medellín municipal environmental regulations</w:t>
            </w:r>
          </w:p>
        </w:tc>
        <w:tc>
          <w:tcPr/>
          <w:p>
            <w:pPr>
              <w:pStyle w:val="Compact"/>
              <w:jc w:val="left"/>
            </w:pPr>
            <w:r>
              <w:t xml:space="preserve">Global</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 (COP)</w:t>
            </w:r>
          </w:p>
        </w:tc>
        <w:tc>
          <w:tcPr/>
          <w:p>
            <w:pPr>
              <w:pStyle w:val="Compact"/>
              <w:jc w:val="left"/>
            </w:pPr>
            <w:r>
              <w:t xml:space="preserve">155,175,000</w:t>
            </w:r>
          </w:p>
        </w:tc>
      </w:tr>
      <w:tr>
        <w:tc>
          <w:tcPr>
            <w:gridSpan w:val="5"/>
          </w:tcPr>
          <w:p>
            <w:pPr>
              <w:pStyle w:val="Compact"/>
              <w:jc w:val="right"/>
            </w:pPr>
            <w:r>
              <w:t xml:space="preserve">VAT – IVA (19%)</w:t>
            </w:r>
          </w:p>
        </w:tc>
        <w:tc>
          <w:tcPr/>
          <w:p>
            <w:pPr>
              <w:pStyle w:val="Compact"/>
              <w:jc w:val="left"/>
            </w:pPr>
            <w:r>
              <w:t xml:space="preserve">29,483,250</w:t>
            </w:r>
          </w:p>
        </w:tc>
      </w:tr>
      <w:tr>
        <w:tc>
          <w:tcPr>
            <w:gridSpan w:val="5"/>
          </w:tcPr>
          <w:p>
            <w:pPr>
              <w:pStyle w:val="Compact"/>
              <w:jc w:val="right"/>
            </w:pPr>
            <w:r>
              <w:t xml:space="preserve">TOTAL ESTIMATED COST (COP)</w:t>
            </w:r>
          </w:p>
        </w:tc>
        <w:tc>
          <w:tcPr/>
          <w:p>
            <w:pPr>
              <w:pStyle w:val="Compact"/>
              <w:jc w:val="left"/>
            </w:pPr>
            <w:r>
              <w:t xml:space="preserve">184,658,250</w:t>
            </w:r>
          </w:p>
        </w:tc>
      </w:tr>
    </w:tbl>
    <w:p>
      <w:pPr>
        <w:pStyle w:val="BodyText"/>
      </w:pPr>
      <w:r>
        <w:t xml:space="preserve">* All prices are expressed in Colombian Pesos (COP). Exchange rate reference at time of quotation: 1 USD ≈ 3,950 COP. Total in USD equivalent: approximately USD 46,749.</w:t>
      </w:r>
    </w:p>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Start</w:t>
            </w:r>
          </w:p>
        </w:tc>
      </w:tr>
      <w:tr>
        <w:tc>
          <w:tcPr/>
          <w:p>
            <w:pPr>
              <w:pStyle w:val="Compact"/>
              <w:jc w:val="left"/>
            </w:pPr>
            <w:r>
              <w:t xml:space="preserve">Phase 1</w:t>
            </w:r>
          </w:p>
        </w:tc>
        <w:tc>
          <w:tcPr/>
          <w:p>
            <w:pPr>
              <w:pStyle w:val="Compact"/>
              <w:jc w:val="left"/>
            </w:pPr>
            <w:r>
              <w:t xml:space="preserve">Site measurement, material procurement, and workshop fabrication</w:t>
            </w:r>
          </w:p>
        </w:tc>
        <w:tc>
          <w:tcPr/>
          <w:p>
            <w:pPr>
              <w:pStyle w:val="Compact"/>
              <w:jc w:val="left"/>
            </w:pPr>
            <w:r>
              <w:t xml:space="preserve">15 working days</w:t>
            </w:r>
          </w:p>
        </w:tc>
        <w:tc>
          <w:tcPr/>
          <w:p>
            <w:pPr>
              <w:pStyle w:val="Compact"/>
              <w:jc w:val="left"/>
            </w:pPr>
            <w:r>
              <w:t xml:space="preserve">July 1, 2025</w:t>
            </w:r>
          </w:p>
        </w:tc>
      </w:tr>
      <w:tr>
        <w:tc>
          <w:tcPr/>
          <w:p>
            <w:pPr>
              <w:pStyle w:val="Compact"/>
              <w:jc w:val="left"/>
            </w:pPr>
            <w:r>
              <w:t xml:space="preserve">Phase 2</w:t>
            </w:r>
          </w:p>
        </w:tc>
        <w:tc>
          <w:tcPr/>
          <w:p>
            <w:pPr>
              <w:pStyle w:val="Compact"/>
              <w:jc w:val="left"/>
            </w:pPr>
            <w:r>
              <w:t xml:space="preserve">On-site installation of paneling, doors, and structural woodwork</w:t>
            </w:r>
          </w:p>
        </w:tc>
        <w:tc>
          <w:tcPr/>
          <w:p>
            <w:pPr>
              <w:pStyle w:val="Compact"/>
              <w:jc w:val="left"/>
            </w:pPr>
            <w:r>
              <w:t xml:space="preserve">20 working days</w:t>
            </w:r>
          </w:p>
        </w:tc>
        <w:tc>
          <w:tcPr/>
          <w:p>
            <w:pPr>
              <w:pStyle w:val="Compact"/>
              <w:jc w:val="left"/>
            </w:pPr>
            <w:r>
              <w:t xml:space="preserve">July 16, 2025</w:t>
            </w:r>
          </w:p>
        </w:tc>
      </w:tr>
      <w:tr>
        <w:tc>
          <w:tcPr/>
          <w:p>
            <w:pPr>
              <w:pStyle w:val="Compact"/>
              <w:jc w:val="left"/>
            </w:pPr>
            <w:r>
              <w:t xml:space="preserve">Phase 3</w:t>
            </w:r>
          </w:p>
        </w:tc>
        <w:tc>
          <w:tcPr/>
          <w:p>
            <w:pPr>
              <w:pStyle w:val="Compact"/>
              <w:jc w:val="left"/>
            </w:pPr>
            <w:r>
              <w:t xml:space="preserve">Installation of custom furniture, wardrobes, and bar counter</w:t>
            </w:r>
          </w:p>
        </w:tc>
        <w:tc>
          <w:tcPr/>
          <w:p>
            <w:pPr>
              <w:pStyle w:val="Compact"/>
              <w:jc w:val="left"/>
            </w:pPr>
            <w:r>
              <w:t xml:space="preserve">12 working days</w:t>
            </w:r>
          </w:p>
        </w:tc>
        <w:tc>
          <w:tcPr/>
          <w:p>
            <w:pPr>
              <w:pStyle w:val="Compact"/>
              <w:jc w:val="left"/>
            </w:pPr>
            <w:r>
              <w:t xml:space="preserve">August 11, 2025</w:t>
            </w:r>
          </w:p>
        </w:tc>
      </w:tr>
      <w:tr>
        <w:tc>
          <w:tcPr/>
          <w:p>
            <w:pPr>
              <w:pStyle w:val="Compact"/>
              <w:jc w:val="left"/>
            </w:pPr>
            <w:r>
              <w:t xml:space="preserve">Phase 4</w:t>
            </w:r>
          </w:p>
        </w:tc>
        <w:tc>
          <w:tcPr/>
          <w:p>
            <w:pPr>
              <w:pStyle w:val="Compact"/>
              <w:jc w:val="left"/>
            </w:pPr>
            <w:r>
              <w:t xml:space="preserve">Finishing, varnishing, quality inspection, and handover</w:t>
            </w:r>
          </w:p>
        </w:tc>
        <w:tc>
          <w:tcPr/>
          <w:p>
            <w:pPr>
              <w:pStyle w:val="Compact"/>
              <w:jc w:val="left"/>
            </w:pPr>
            <w:r>
              <w:t xml:space="preserve">8 working days</w:t>
            </w:r>
          </w:p>
        </w:tc>
        <w:tc>
          <w:tcPr/>
          <w:p>
            <w:pPr>
              <w:pStyle w:val="Compact"/>
              <w:jc w:val="left"/>
            </w:pPr>
            <w:r>
              <w:t xml:space="preserve">August 25, 2025</w:t>
            </w:r>
          </w:p>
        </w:tc>
      </w:tr>
    </w:tbl>
    <w:p>
      <w:pPr>
        <w:pStyle w:val="BodyText"/>
      </w:pPr>
      <w:r>
        <w:rPr>
          <w:bCs/>
          <w:b/>
        </w:rPr>
        <w:t xml:space="preserve">Total estimated project duration:</w:t>
      </w:r>
      <w:r>
        <w:t xml:space="preserve"> </w:t>
      </w:r>
      <w:r>
        <w:t xml:space="preserve">55 working days (approximately 11 calendar weeks).</w:t>
      </w:r>
    </w:p>
    <w:p>
      <w:pPr>
        <w:pStyle w:val="BodyText"/>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due to fluctuations in raw material costs in the Colombia Medellín market.</w:t>
      </w:r>
    </w:p>
    <w:p>
      <w:pPr>
        <w:numPr>
          <w:ilvl w:val="0"/>
          <w:numId w:val="1001"/>
        </w:numPr>
        <w:pStyle w:val="Compact"/>
      </w:pPr>
      <w:r>
        <w:rPr>
          <w:bCs/>
          <w:b/>
        </w:rPr>
        <w:t xml:space="preserve">Payment Terms:</w:t>
      </w:r>
      <w:r>
        <w:t xml:space="preserve"> </w:t>
      </w:r>
      <w:r>
        <w:t xml:space="preserve">40% advance payment upon contract signing; 35% upon completion of Phase 2; 25% upon final delivery and client sign-off. All payments to be made via bank transfer to the account specified in the commercial contract.</w:t>
      </w:r>
    </w:p>
    <w:p>
      <w:pPr>
        <w:numPr>
          <w:ilvl w:val="0"/>
          <w:numId w:val="1001"/>
        </w:numPr>
        <w:pStyle w:val="Compact"/>
      </w:pPr>
      <w:r>
        <w:rPr>
          <w:bCs/>
          <w:b/>
        </w:rPr>
        <w:t xml:space="preserve">Warranty:</w:t>
      </w:r>
      <w:r>
        <w:t xml:space="preserve"> </w:t>
      </w:r>
      <w:r>
        <w:t xml:space="preserve">The Carpenter service includes a twelve (12) month warranty on all workmanship and structural integrity. Material defects are covered under the manufacturer's warranty terms.</w:t>
      </w:r>
    </w:p>
    <w:p>
      <w:pPr>
        <w:numPr>
          <w:ilvl w:val="0"/>
          <w:numId w:val="1001"/>
        </w:numPr>
        <w:pStyle w:val="Compact"/>
      </w:pPr>
      <w:r>
        <w:rPr>
          <w:bCs/>
          <w:b/>
        </w:rPr>
        <w:t xml:space="preserve">Materials:</w:t>
      </w:r>
      <w:r>
        <w:t xml:space="preserve"> </w:t>
      </w:r>
      <w:r>
        <w:t xml:space="preserve">All wood species used (walnut, oak, cedar, mahogany, teak) are sourced from legally harvested, FSC-certified suppliers in the Antioquia and Chocó regions of Colombia. No illegally logged timber will be used under any circumstance.</w:t>
      </w:r>
    </w:p>
    <w:p>
      <w:pPr>
        <w:numPr>
          <w:ilvl w:val="0"/>
          <w:numId w:val="1001"/>
        </w:numPr>
        <w:pStyle w:val="Compact"/>
      </w:pPr>
      <w:r>
        <w:rPr>
          <w:bCs/>
          <w:b/>
        </w:rPr>
        <w:t xml:space="preserve">Change Orders:</w:t>
      </w:r>
      <w:r>
        <w:t xml:space="preserve"> </w:t>
      </w:r>
      <w:r>
        <w:t xml:space="preserve">Any modifications to the scope of work requested by the client after contract execution will be subject to a written change order with updated pricing and timeline adjustments.</w:t>
      </w:r>
    </w:p>
    <w:p>
      <w:pPr>
        <w:numPr>
          <w:ilvl w:val="0"/>
          <w:numId w:val="1001"/>
        </w:numPr>
        <w:pStyle w:val="Compact"/>
      </w:pPr>
      <w:r>
        <w:rPr>
          <w:bCs/>
          <w:b/>
        </w:rPr>
        <w:t xml:space="preserve">Regulatory Compliance:</w:t>
      </w:r>
      <w:r>
        <w:t xml:space="preserve"> </w:t>
      </w:r>
      <w:r>
        <w:t xml:space="preserve">All work performed in Colombia Medellín will adhere to the applicable regulations of the Secretaría de Planeación de Medellín, the Colombian Ministry of Environment (Ministerio de Ambiente), and the NTC technical standards for carpentry and woodwork.</w:t>
      </w:r>
    </w:p>
    <w:p>
      <w:pPr>
        <w:numPr>
          <w:ilvl w:val="0"/>
          <w:numId w:val="1001"/>
        </w:numPr>
        <w:pStyle w:val="Compact"/>
      </w:pPr>
      <w:r>
        <w:rPr>
          <w:bCs/>
          <w:b/>
        </w:rPr>
        <w:t xml:space="preserve">Insurance:</w:t>
      </w:r>
      <w:r>
        <w:t xml:space="preserve"> </w:t>
      </w:r>
      <w:r>
        <w:t xml:space="preserve">The service provider maintains comprehensive liability insurance and workers' compensation coverage (Arla) for all personnel on site.</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mediation in the city of Medellín, Antioquia, Colombia, in accordance with Colombian civil law.</w:t>
      </w:r>
    </w:p>
    <w:p>
      <w:pPr>
        <w:pStyle w:val="FirstParagraph"/>
      </w:pPr>
      <w:r>
        <w:t xml:space="preserve">6. ACCEPTANCE AND SIGNATURES</w:t>
      </w:r>
    </w:p>
    <w:p>
      <w:pPr>
        <w:pStyle w:val="BodyText"/>
      </w:pPr>
      <w:r>
        <w:t xml:space="preserve">By signing below, both parties acknowledge that this Quotation Estimate accurately reflects the scope, cost, and terms of the Carpenter services to be rendered in Colombia Medellín. This document serves as the basis for the formal commercial contract to be executed within five (5) business days of mutual acceptance.</w:t>
      </w:r>
    </w:p>
    <w:p>
      <w:pPr>
        <w:pStyle w:val="BodyText"/>
      </w:pPr>
      <w:r>
        <w:rPr>
          <w:bCs/>
          <w:b/>
        </w:rPr>
        <w:t xml:space="preserve">Ing. Carlos Alberto Restrepo M.</w:t>
      </w:r>
      <w:r>
        <w:br/>
      </w:r>
      <w:r>
        <w:t xml:space="preserve">Lead Carpenter / Project Director</w:t>
      </w:r>
      <w:r>
        <w:br/>
      </w:r>
      <w:r>
        <w:t xml:space="preserve">Taller de Carpintería Los Robles S.A.S.</w:t>
      </w:r>
      <w:r>
        <w:br/>
      </w:r>
      <w:r>
        <w:t xml:space="preserve">Date: _______________</w:t>
      </w:r>
    </w:p>
    <w:p>
      <w:pPr>
        <w:pStyle w:val="BodyText"/>
      </w:pPr>
      <w:r>
        <w:rPr>
          <w:bCs/>
          <w:b/>
        </w:rPr>
        <w:t xml:space="preserve">Lic. María Fernanda Ospina</w:t>
      </w:r>
      <w:r>
        <w:br/>
      </w:r>
      <w:r>
        <w:t xml:space="preserve">Procurement Manager</w:t>
      </w:r>
      <w:r>
        <w:br/>
      </w:r>
      <w:r>
        <w:t xml:space="preserve">Hotel Andino Suites S.A.S.</w:t>
      </w:r>
      <w:r>
        <w:br/>
      </w:r>
      <w:r>
        <w:t xml:space="preserve">Date: _______________</w:t>
      </w:r>
    </w:p>
    <w:p>
      <w:pPr>
        <w:pStyle w:val="BodyText"/>
      </w:pPr>
      <w:r>
        <w:t xml:space="preserve">Quotation Estimate QTE-MDE-2025-04782 | Carpenter Services | Colombia Medellín</w:t>
      </w:r>
    </w:p>
    <w:p>
      <w:pPr>
        <w:pStyle w:val="BodyText"/>
      </w:pPr>
      <w:r>
        <w:t xml:space="preserve">Taller de Carpintería Los Robles S.A.S. | Calle 43 # 52A-18, El Poblado, Medellín, Antioquia, Colombia</w:t>
      </w:r>
    </w:p>
    <w:p>
      <w:pPr>
        <w:pStyle w:val="BodyText"/>
      </w:pPr>
      <w:r>
        <w:t xml:space="preserve">This document is generated for commercial purposes and does not constitute a binding contract until formally executed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Colombia Medellín</dc:title>
  <dc:creator/>
  <dc:language>en</dc:language>
  <cp:keywords/>
  <dcterms:created xsi:type="dcterms:W3CDTF">2026-10-10T07:33:07Z</dcterms:created>
  <dcterms:modified xsi:type="dcterms:W3CDTF">2026-10-10T07:33:07Z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