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Egypt</w:t>
      </w:r>
      <w:r>
        <w:t xml:space="preserve"> </w:t>
      </w:r>
      <w:r>
        <w:t xml:space="preserve">Cairo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Carpenter Services — Egypt Cairo</w:t>
      </w:r>
    </w:p>
    <w:bookmarkEnd w:id="20"/>
    <w:bookmarkStart w:id="21" w:name="quotation-estimate-details"/>
    <w:p>
      <w:pPr>
        <w:pStyle w:val="Heading3"/>
      </w:pPr>
      <w:r>
        <w:t xml:space="preserve">Quotation Estimate Details</w:t>
      </w:r>
    </w:p>
    <w:p>
      <w:pPr>
        <w:pStyle w:val="FirstParagraph"/>
      </w:pPr>
      <w:r>
        <w:rPr>
          <w:bCs/>
          <w:b/>
        </w:rPr>
        <w:t xml:space="preserve">Reference No.:</w:t>
      </w:r>
      <w:r>
        <w:t xml:space="preserve"> </w:t>
      </w:r>
      <w:r>
        <w:t xml:space="preserve">QTE-CAI-2025-04782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Egyptian Pound (EGP)</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Al-Nile Master Carpenter Co.</w:t>
      </w:r>
    </w:p>
    <w:p>
      <w:pPr>
        <w:pStyle w:val="BodyText"/>
      </w:pPr>
      <w:r>
        <w:rPr>
          <w:bCs/>
          <w:b/>
        </w:rPr>
        <w:t xml:space="preserve">Address:</w:t>
      </w:r>
      <w:r>
        <w:t xml:space="preserve"> </w:t>
      </w:r>
      <w:r>
        <w:t xml:space="preserve">42 El-Gomhoreya St., Dokki, Egypt Cairo</w:t>
      </w:r>
    </w:p>
    <w:p>
      <w:pPr>
        <w:pStyle w:val="BodyText"/>
      </w:pPr>
      <w:r>
        <w:rPr>
          <w:bCs/>
          <w:b/>
        </w:rPr>
        <w:t xml:space="preserve">Phone:</w:t>
      </w:r>
      <w:r>
        <w:t xml:space="preserve"> </w:t>
      </w:r>
      <w:r>
        <w:t xml:space="preserve">+20 2 3301 5567</w:t>
      </w:r>
    </w:p>
    <w:p>
      <w:pPr>
        <w:pStyle w:val="BodyText"/>
      </w:pPr>
      <w:r>
        <w:rPr>
          <w:bCs/>
          <w:b/>
        </w:rPr>
        <w:t xml:space="preserve">Email:</w:t>
      </w:r>
      <w:r>
        <w:t xml:space="preserve"> </w:t>
      </w:r>
      <w:r>
        <w:t xml:space="preserve">quotes@alnilecarpenter.com.eg</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Mr. Ahmed Hassan El-Sayed</w:t>
      </w:r>
    </w:p>
    <w:p>
      <w:pPr>
        <w:pStyle w:val="BodyText"/>
      </w:pPr>
      <w:r>
        <w:rPr>
          <w:bCs/>
          <w:b/>
        </w:rPr>
        <w:t xml:space="preserve">Project Address:</w:t>
      </w:r>
      <w:r>
        <w:t xml:space="preserve"> </w:t>
      </w:r>
      <w:r>
        <w:t xml:space="preserve">18 Maadi Corniche, Maadi District, Egypt Cairo</w:t>
      </w:r>
    </w:p>
    <w:p>
      <w:pPr>
        <w:pStyle w:val="BodyText"/>
      </w:pPr>
      <w:r>
        <w:rPr>
          <w:bCs/>
          <w:b/>
        </w:rPr>
        <w:t xml:space="preserve">Phone:</w:t>
      </w:r>
      <w:r>
        <w:t xml:space="preserve"> </w:t>
      </w:r>
      <w:r>
        <w:t xml:space="preserve">+20 100 555 8821</w:t>
      </w:r>
    </w:p>
    <w:p>
      <w:pPr>
        <w:pStyle w:val="BodyText"/>
      </w:pPr>
      <w:r>
        <w:rPr>
          <w:bCs/>
          <w:b/>
        </w:rPr>
        <w:t xml:space="preserve">Email:</w:t>
      </w:r>
      <w:r>
        <w:t xml:space="preserve"> </w:t>
      </w:r>
      <w:r>
        <w:t xml:space="preserve">a.hassan@example.com</w:t>
      </w:r>
    </w:p>
    <w:bookmarkEnd w:id="23"/>
    <w:bookmarkStart w:id="24" w:name="project-summary"/>
    <w:p>
      <w:pPr>
        <w:pStyle w:val="Heading3"/>
      </w:pPr>
      <w:r>
        <w:t xml:space="preserve">Project Summary</w:t>
      </w:r>
    </w:p>
    <w:p>
      <w:pPr>
        <w:pStyle w:val="FirstParagraph"/>
      </w:pPr>
      <w:r>
        <w:rPr>
          <w:bCs/>
          <w:b/>
        </w:rPr>
        <w:t xml:space="preserve">Project Type:</w:t>
      </w:r>
      <w:r>
        <w:t xml:space="preserve"> </w:t>
      </w:r>
      <w:r>
        <w:t xml:space="preserve">Residential Interior Carpentry</w:t>
      </w:r>
    </w:p>
    <w:p>
      <w:pPr>
        <w:pStyle w:val="BodyText"/>
      </w:pPr>
      <w:r>
        <w:rPr>
          <w:bCs/>
          <w:b/>
        </w:rPr>
        <w:t xml:space="preserve">Estimated Duration:</w:t>
      </w:r>
      <w:r>
        <w:t xml:space="preserve"> </w:t>
      </w:r>
      <w:r>
        <w:t xml:space="preserve">22 working days</w:t>
      </w:r>
    </w:p>
    <w:p>
      <w:pPr>
        <w:pStyle w:val="BodyText"/>
      </w:pPr>
      <w:r>
        <w:rPr>
          <w:bCs/>
          <w:b/>
        </w:rPr>
        <w:t xml:space="preserve">Start Date (Proposed):</w:t>
      </w:r>
      <w:r>
        <w:t xml:space="preserve"> </w:t>
      </w:r>
      <w:r>
        <w:t xml:space="preserve">1 July 2025</w:t>
      </w:r>
    </w:p>
    <w:p>
      <w:pPr>
        <w:pStyle w:val="BodyText"/>
      </w:pPr>
      <w:r>
        <w:rPr>
          <w:bCs/>
          <w:b/>
        </w:rPr>
        <w:t xml:space="preserve">Completion Date (Proposed):</w:t>
      </w:r>
      <w:r>
        <w:t xml:space="preserve"> </w:t>
      </w:r>
      <w:r>
        <w:t xml:space="preserve">24 July 2025</w:t>
      </w:r>
    </w:p>
    <w:bookmarkEnd w:id="24"/>
    <w:bookmarkStart w:id="25" w:name="X05f3df265864fc6779e4c3f9cbd6459f6324cd3"/>
    <w:p>
      <w:pPr>
        <w:pStyle w:val="Heading2"/>
      </w:pPr>
      <w:r>
        <w:t xml:space="preserve">1. Scope of Work — Carpenter Services in Egypt Cairo</w:t>
      </w:r>
    </w:p>
    <w:p>
      <w:pPr>
        <w:pStyle w:val="FirstParagraph"/>
      </w:pPr>
      <w:r>
        <w:t xml:space="preserve">This Quotation Estimate is prepared by Al-Nile Master Carpenter Co., a licensed and registered Carpenter firm operating in Egypt Cairo, to provide comprehensive carpentry and woodwork services for the residential property located in Maadi District. The Carpenter team assigned to this project will consist of one senior master Carpenter, two skilled assistant carpenters, and one finish specialist. All work will be executed in accordance with the Egyptian Building Code (EBC) standards and the client's approved design specifications.</w:t>
      </w:r>
    </w:p>
    <w:p>
      <w:pPr>
        <w:pStyle w:val="BodyText"/>
      </w:pPr>
      <w:r>
        <w:t xml:space="preserve">The scope encompasses the design, fabrication, and installation of custom wooden furniture, built-in wardrobes, kitchen cabinetry, interior doors, and decorative wood paneling. All materials will be sourced from certified suppliers within Egypt Cairo to ensure quality consistency and timely delivery to the project site.</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(EGP)</w:t>
            </w:r>
          </w:p>
        </w:tc>
        <w:tc>
          <w:tcPr/>
          <w:p>
            <w:pPr>
              <w:pStyle w:val="Compact"/>
              <w:jc w:val="left"/>
            </w:pPr>
            <w:r>
              <w:t xml:space="preserve">Total (EGP)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Custom built-in wardrobe (oak wood, 3.2m x 2.4m) with sliding doors, interior shelving, and LED strip lighting</w:t>
            </w:r>
          </w:p>
        </w:tc>
        <w:tc>
          <w:tcPr/>
          <w:p>
            <w:pPr>
              <w:pStyle w:val="Compact"/>
              <w:jc w:val="left"/>
            </w:pPr>
            <w:r>
              <w:t xml:space="preserve">2 units</w:t>
            </w:r>
          </w:p>
        </w:tc>
        <w:tc>
          <w:tcPr/>
          <w:p>
            <w:pPr>
              <w:pStyle w:val="Compact"/>
              <w:jc w:val="left"/>
            </w:pPr>
            <w:r>
              <w:t xml:space="preserve">48,500</w:t>
            </w:r>
          </w:p>
        </w:tc>
        <w:tc>
          <w:tcPr/>
          <w:p>
            <w:pPr>
              <w:pStyle w:val="Compact"/>
              <w:jc w:val="left"/>
            </w:pPr>
            <w:r>
              <w:t xml:space="preserve">97,000</w:t>
            </w:r>
          </w:p>
        </w:tc>
        <w:tc>
          <w:tcPr/>
          <w:p>
            <w:pPr>
              <w:pStyle w:val="Compact"/>
              <w:jc w:val="left"/>
            </w:pPr>
            <w:r>
              <w:t xml:space="preserve">Master Carpenter supervision</w:t>
            </w:r>
          </w:p>
        </w:tc>
      </w:tr>
      <w:tr>
        <w:tc>
          <w:tcPr/>
          <w:p>
            <w:pPr>
              <w:pStyle w:val="Compact"/>
              <w:jc w:val="left"/>
            </w:pPr>
            <w:r>
              <w:t xml:space="preserve">2</w:t>
            </w:r>
          </w:p>
        </w:tc>
        <w:tc>
          <w:tcPr/>
          <w:p>
            <w:pPr>
              <w:pStyle w:val="Compact"/>
              <w:jc w:val="left"/>
            </w:pPr>
            <w:r>
              <w:t xml:space="preserve">Kitchen cabinetry (walnut finish, 5.8m linear) including base units, wall units, and countertop support structure</w:t>
            </w:r>
          </w:p>
        </w:tc>
        <w:tc>
          <w:tcPr/>
          <w:p>
            <w:pPr>
              <w:pStyle w:val="Compact"/>
              <w:jc w:val="left"/>
            </w:pPr>
            <w:r>
              <w:t xml:space="preserve">1 set</w:t>
            </w:r>
          </w:p>
        </w:tc>
        <w:tc>
          <w:tcPr/>
          <w:p>
            <w:pPr>
              <w:pStyle w:val="Compact"/>
              <w:jc w:val="left"/>
            </w:pPr>
            <w:r>
              <w:t xml:space="preserve">112,000</w:t>
            </w:r>
          </w:p>
        </w:tc>
        <w:tc>
          <w:tcPr/>
          <w:p>
            <w:pPr>
              <w:pStyle w:val="Compact"/>
              <w:jc w:val="left"/>
            </w:pPr>
            <w:r>
              <w:t xml:space="preserve">112,000</w:t>
            </w:r>
          </w:p>
        </w:tc>
        <w:tc>
          <w:tcPr/>
          <w:p>
            <w:pPr>
              <w:pStyle w:val="Compact"/>
              <w:jc w:val="left"/>
            </w:pPr>
            <w:r>
              <w:t xml:space="preserve">Moisture-treated wood for Egypt Cairo climate</w:t>
            </w:r>
          </w:p>
        </w:tc>
      </w:tr>
      <w:tr>
        <w:tc>
          <w:tcPr/>
          <w:p>
            <w:pPr>
              <w:pStyle w:val="Compact"/>
              <w:jc w:val="left"/>
            </w:pPr>
            <w:r>
              <w:t xml:space="preserve">3</w:t>
            </w:r>
          </w:p>
        </w:tc>
        <w:tc>
          <w:tcPr/>
          <w:p>
            <w:pPr>
              <w:pStyle w:val="Compact"/>
              <w:jc w:val="left"/>
            </w:pPr>
            <w:r>
              <w:t xml:space="preserve">Interior solid wood doors (mahogany, 2.1m x 0.9m) with custom iron hardware</w:t>
            </w:r>
          </w:p>
        </w:tc>
        <w:tc>
          <w:tcPr/>
          <w:p>
            <w:pPr>
              <w:pStyle w:val="Compact"/>
              <w:jc w:val="left"/>
            </w:pPr>
            <w:r>
              <w:t xml:space="preserve">5 units</w:t>
            </w:r>
          </w:p>
        </w:tc>
        <w:tc>
          <w:tcPr/>
          <w:p>
            <w:pPr>
              <w:pStyle w:val="Compact"/>
              <w:jc w:val="left"/>
            </w:pPr>
            <w:r>
              <w:t xml:space="preserve">14,200</w:t>
            </w:r>
          </w:p>
        </w:tc>
        <w:tc>
          <w:tcPr/>
          <w:p>
            <w:pPr>
              <w:pStyle w:val="Compact"/>
              <w:jc w:val="left"/>
            </w:pPr>
            <w:r>
              <w:t xml:space="preserve">71,000</w:t>
            </w:r>
          </w:p>
        </w:tc>
        <w:tc>
          <w:tcPr/>
          <w:p>
            <w:pPr>
              <w:pStyle w:val="Compact"/>
              <w:jc w:val="left"/>
            </w:pPr>
            <w:r>
              <w:t xml:space="preserve">Includes installation and sealing</w:t>
            </w:r>
          </w:p>
        </w:tc>
      </w:tr>
      <w:tr>
        <w:tc>
          <w:tcPr/>
          <w:p>
            <w:pPr>
              <w:pStyle w:val="Compact"/>
              <w:jc w:val="left"/>
            </w:pPr>
            <w:r>
              <w:t xml:space="preserve">4</w:t>
            </w:r>
          </w:p>
        </w:tc>
        <w:tc>
          <w:tcPr/>
          <w:p>
            <w:pPr>
              <w:pStyle w:val="Compact"/>
              <w:jc w:val="left"/>
            </w:pPr>
            <w:r>
              <w:t xml:space="preserve">Decorative wood paneling for living room feature wall (cedar, 4.5m x 3.0m) with geometric inlay pattern</w:t>
            </w:r>
          </w:p>
        </w:tc>
        <w:tc>
          <w:tcPr/>
          <w:p>
            <w:pPr>
              <w:pStyle w:val="Compact"/>
              <w:jc w:val="left"/>
            </w:pPr>
            <w:r>
              <w:t xml:space="preserve">1 set</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Hand-carved by senior Carpenter</w:t>
            </w:r>
          </w:p>
        </w:tc>
      </w:tr>
      <w:tr>
        <w:tc>
          <w:tcPr/>
          <w:p>
            <w:pPr>
              <w:pStyle w:val="Compact"/>
              <w:jc w:val="left"/>
            </w:pPr>
            <w:r>
              <w:t xml:space="preserve">5</w:t>
            </w:r>
          </w:p>
        </w:tc>
        <w:tc>
          <w:tcPr/>
          <w:p>
            <w:pPr>
              <w:pStyle w:val="Compact"/>
              <w:jc w:val="left"/>
            </w:pPr>
            <w:r>
              <w:t xml:space="preserve">Custom dining table (teak, 2.4m x 1.2m) with 6 matching upholstered chairs</w:t>
            </w:r>
          </w:p>
        </w:tc>
        <w:tc>
          <w:tcPr/>
          <w:p>
            <w:pPr>
              <w:pStyle w:val="Compact"/>
              <w:jc w:val="left"/>
            </w:pPr>
            <w:r>
              <w:t xml:space="preserve">1 set</w:t>
            </w:r>
          </w:p>
        </w:tc>
        <w:tc>
          <w:tcPr/>
          <w:p>
            <w:pPr>
              <w:pStyle w:val="Compact"/>
              <w:jc w:val="left"/>
            </w:pPr>
            <w:r>
              <w:t xml:space="preserve">52,000</w:t>
            </w:r>
          </w:p>
        </w:tc>
        <w:tc>
          <w:tcPr/>
          <w:p>
            <w:pPr>
              <w:pStyle w:val="Compact"/>
              <w:jc w:val="left"/>
            </w:pPr>
            <w:r>
              <w:t xml:space="preserve">52,000</w:t>
            </w:r>
          </w:p>
        </w:tc>
        <w:tc>
          <w:tcPr/>
          <w:p>
            <w:pPr>
              <w:pStyle w:val="Compact"/>
              <w:jc w:val="left"/>
            </w:pPr>
            <w:r>
              <w:t xml:space="preserve">Food-safe finish applied</w:t>
            </w:r>
          </w:p>
        </w:tc>
      </w:tr>
      <w:tr>
        <w:tc>
          <w:tcPr/>
          <w:p>
            <w:pPr>
              <w:pStyle w:val="Compact"/>
              <w:jc w:val="left"/>
            </w:pPr>
            <w:r>
              <w:t xml:space="preserve">6</w:t>
            </w:r>
          </w:p>
        </w:tc>
        <w:tc>
          <w:tcPr/>
          <w:p>
            <w:pPr>
              <w:pStyle w:val="Compact"/>
              <w:jc w:val="left"/>
            </w:pPr>
            <w:r>
              <w:t xml:space="preserve">Staircase handrail and balustrade (solid oak, 18 steps) with newel posts</w:t>
            </w:r>
          </w:p>
        </w:tc>
        <w:tc>
          <w:tcPr/>
          <w:p>
            <w:pPr>
              <w:pStyle w:val="Compact"/>
              <w:jc w:val="left"/>
            </w:pPr>
            <w:r>
              <w:t xml:space="preserve">1 set</w:t>
            </w:r>
          </w:p>
        </w:tc>
        <w:tc>
          <w:tcPr/>
          <w:p>
            <w:pPr>
              <w:pStyle w:val="Compact"/>
              <w:jc w:val="left"/>
            </w:pPr>
            <w:r>
              <w:t xml:space="preserve">44,500</w:t>
            </w:r>
          </w:p>
        </w:tc>
        <w:tc>
          <w:tcPr/>
          <w:p>
            <w:pPr>
              <w:pStyle w:val="Compact"/>
              <w:jc w:val="left"/>
            </w:pPr>
            <w:r>
              <w:t xml:space="preserve">44,500</w:t>
            </w:r>
          </w:p>
        </w:tc>
        <w:tc>
          <w:tcPr/>
          <w:p>
            <w:pPr>
              <w:pStyle w:val="Compact"/>
              <w:jc w:val="left"/>
            </w:pPr>
            <w:r>
              <w:t xml:space="preserve">Structural reinforcement included</w:t>
            </w:r>
          </w:p>
        </w:tc>
      </w:tr>
      <w:tr>
        <w:tc>
          <w:tcPr/>
          <w:p>
            <w:pPr>
              <w:pStyle w:val="Compact"/>
              <w:jc w:val="left"/>
            </w:pPr>
            <w:r>
              <w:t xml:space="preserve">7</w:t>
            </w:r>
          </w:p>
        </w:tc>
        <w:tc>
          <w:tcPr/>
          <w:p>
            <w:pPr>
              <w:pStyle w:val="Compact"/>
              <w:jc w:val="left"/>
            </w:pPr>
            <w:r>
              <w:t xml:space="preserve">Bookshelf unit (ash wood, 2.8m x 2.2m) with adjustable shelving and glass-fronted upper compartments</w:t>
            </w:r>
          </w:p>
        </w:tc>
        <w:tc>
          <w:tcPr/>
          <w:p>
            <w:pPr>
              <w:pStyle w:val="Compact"/>
              <w:jc w:val="left"/>
            </w:pPr>
            <w:r>
              <w:t xml:space="preserve">1 unit</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Wall-anchored for seismic safety</w:t>
            </w:r>
          </w:p>
        </w:tc>
      </w:tr>
      <w:tr>
        <w:tc>
          <w:tcPr/>
          <w:p>
            <w:pPr>
              <w:pStyle w:val="Compact"/>
              <w:jc w:val="left"/>
            </w:pPr>
            <w:r>
              <w:t xml:space="preserve">8</w:t>
            </w:r>
          </w:p>
        </w:tc>
        <w:tc>
          <w:tcPr/>
          <w:p>
            <w:pPr>
              <w:pStyle w:val="Compact"/>
              <w:jc w:val="left"/>
            </w:pPr>
            <w:r>
              <w:t xml:space="preserve">Site preparation, material handling, and final cleanup at Egypt Cairo project location</w:t>
            </w:r>
          </w:p>
        </w:tc>
        <w:tc>
          <w:tcPr/>
          <w:p>
            <w:pPr>
              <w:pStyle w:val="Compact"/>
              <w:jc w:val="left"/>
            </w:pPr>
            <w:r>
              <w:t xml:space="preserve">1 lot</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Daily cleanup included</w:t>
            </w:r>
          </w:p>
        </w:tc>
      </w:tr>
      <w:tr>
        <w:tc>
          <w:tcPr/>
          <w:p>
            <w:pPr>
              <w:pStyle w:val="Compact"/>
              <w:jc w:val="left"/>
            </w:pPr>
            <w:r>
              <w:t xml:space="preserve">9</w:t>
            </w:r>
          </w:p>
        </w:tc>
        <w:tc>
          <w:tcPr/>
          <w:p>
            <w:pPr>
              <w:pStyle w:val="Compact"/>
              <w:jc w:val="left"/>
            </w:pPr>
            <w:r>
              <w:t xml:space="preserve">Project management, design consultation, and on-site supervision by lead Carpenter</w:t>
            </w:r>
          </w:p>
        </w:tc>
        <w:tc>
          <w:tcPr/>
          <w:p>
            <w:pPr>
              <w:pStyle w:val="Compact"/>
              <w:jc w:val="left"/>
            </w:pPr>
            <w:r>
              <w:t xml:space="preserve">22 days</w:t>
            </w:r>
          </w:p>
        </w:tc>
        <w:tc>
          <w:tcPr/>
          <w:p>
            <w:pPr>
              <w:pStyle w:val="Compact"/>
              <w:jc w:val="left"/>
            </w:pPr>
            <w:r>
              <w:t xml:space="preserve">1,800</w:t>
            </w:r>
          </w:p>
        </w:tc>
        <w:tc>
          <w:tcPr/>
          <w:p>
            <w:pPr>
              <w:pStyle w:val="Compact"/>
              <w:jc w:val="left"/>
            </w:pPr>
            <w:r>
              <w:t xml:space="preserve">39,600</w:t>
            </w:r>
          </w:p>
        </w:tc>
        <w:tc>
          <w:tcPr/>
          <w:p>
            <w:pPr>
              <w:pStyle w:val="Compact"/>
              <w:jc w:val="left"/>
            </w:pPr>
            <w:r>
              <w:t xml:space="preserve">Includes weekly progress reports</w:t>
            </w:r>
          </w:p>
        </w:tc>
      </w:tr>
      <w:tr>
        <w:tc>
          <w:tcPr>
            <w:gridSpan w:val="4"/>
          </w:tcPr>
          <w:p>
            <w:pPr>
              <w:pStyle w:val="Compact"/>
              <w:jc w:val="right"/>
            </w:pPr>
            <w:r>
              <w:t xml:space="preserve">Subtotal</w:t>
            </w:r>
          </w:p>
        </w:tc>
        <w:tc>
          <w:tcPr/>
          <w:p>
            <w:pPr>
              <w:pStyle w:val="Compact"/>
              <w:jc w:val="left"/>
            </w:pPr>
            <w:r>
              <w:t xml:space="preserve">484,600</w:t>
            </w:r>
          </w:p>
        </w:tc>
        <w:tc>
          <w:tcPr/>
          <w:p>
            <w:pPr>
              <w:pStyle w:val="Compact"/>
            </w:pPr>
          </w:p>
        </w:tc>
      </w:tr>
      <w:tr>
        <w:tc>
          <w:tcPr>
            <w:gridSpan w:val="4"/>
          </w:tcPr>
          <w:p>
            <w:pPr>
              <w:pStyle w:val="Compact"/>
              <w:jc w:val="right"/>
            </w:pPr>
            <w:r>
              <w:t xml:space="preserve">VAT (14% — Egyptian Tax Authority)</w:t>
            </w:r>
          </w:p>
        </w:tc>
        <w:tc>
          <w:tcPr/>
          <w:p>
            <w:pPr>
              <w:pStyle w:val="Compact"/>
              <w:jc w:val="left"/>
            </w:pPr>
            <w:r>
              <w:t xml:space="preserve">67,844</w:t>
            </w:r>
          </w:p>
        </w:tc>
        <w:tc>
          <w:tcPr/>
          <w:p>
            <w:pPr>
              <w:pStyle w:val="Compact"/>
            </w:pPr>
          </w:p>
        </w:tc>
      </w:tr>
      <w:tr>
        <w:tc>
          <w:tcPr>
            <w:gridSpan w:val="4"/>
          </w:tcPr>
          <w:p>
            <w:pPr>
              <w:pStyle w:val="Compact"/>
              <w:jc w:val="right"/>
            </w:pPr>
            <w:r>
              <w:t xml:space="preserve">TOTAL AMOUNT DUE (EGP)</w:t>
            </w:r>
          </w:p>
        </w:tc>
        <w:tc>
          <w:tcPr/>
          <w:p>
            <w:pPr>
              <w:pStyle w:val="Compact"/>
              <w:jc w:val="left"/>
            </w:pPr>
            <w:r>
              <w:t xml:space="preserve">552,444</w:t>
            </w:r>
          </w:p>
        </w:tc>
        <w:tc>
          <w:tcPr/>
          <w:p>
            <w:pPr>
              <w:pStyle w:val="Compact"/>
            </w:pPr>
          </w:p>
        </w:tc>
      </w:tr>
    </w:tbl>
    <w:bookmarkEnd w:id="26"/>
    <w:bookmarkStart w:id="27"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(EGP)</w:t>
            </w:r>
          </w:p>
        </w:tc>
        <w:tc>
          <w:tcPr/>
          <w:p>
            <w:pPr>
              <w:pStyle w:val="Compact"/>
              <w:jc w:val="left"/>
            </w:pPr>
            <w:r>
              <w:t xml:space="preserve">Due Date</w:t>
            </w:r>
          </w:p>
        </w:tc>
      </w:tr>
      <w:tr>
        <w:tc>
          <w:tcPr/>
          <w:p>
            <w:pPr>
              <w:pStyle w:val="Compact"/>
              <w:jc w:val="left"/>
            </w:pPr>
            <w:r>
              <w:t xml:space="preserve">Advance payment upon signing this Quotation Estimate</w:t>
            </w:r>
          </w:p>
        </w:tc>
        <w:tc>
          <w:tcPr/>
          <w:p>
            <w:pPr>
              <w:pStyle w:val="Compact"/>
              <w:jc w:val="left"/>
            </w:pPr>
            <w:r>
              <w:t xml:space="preserve">30%</w:t>
            </w:r>
          </w:p>
        </w:tc>
        <w:tc>
          <w:tcPr/>
          <w:p>
            <w:pPr>
              <w:pStyle w:val="Compact"/>
              <w:jc w:val="left"/>
            </w:pPr>
            <w:r>
              <w:t xml:space="preserve">165,733</w:t>
            </w:r>
          </w:p>
        </w:tc>
        <w:tc>
          <w:tcPr/>
          <w:p>
            <w:pPr>
              <w:pStyle w:val="Compact"/>
              <w:jc w:val="left"/>
            </w:pPr>
            <w:r>
              <w:t xml:space="preserve">Upon contract execution</w:t>
            </w:r>
          </w:p>
        </w:tc>
      </w:tr>
      <w:tr>
        <w:tc>
          <w:tcPr/>
          <w:p>
            <w:pPr>
              <w:pStyle w:val="Compact"/>
              <w:jc w:val="left"/>
            </w:pPr>
            <w:r>
              <w:t xml:space="preserve">Material procurement and fabrication completion</w:t>
            </w:r>
          </w:p>
        </w:tc>
        <w:tc>
          <w:tcPr/>
          <w:p>
            <w:pPr>
              <w:pStyle w:val="Compact"/>
              <w:jc w:val="left"/>
            </w:pPr>
            <w:r>
              <w:t xml:space="preserve">40%</w:t>
            </w:r>
          </w:p>
        </w:tc>
        <w:tc>
          <w:tcPr/>
          <w:p>
            <w:pPr>
              <w:pStyle w:val="Compact"/>
              <w:jc w:val="left"/>
            </w:pPr>
            <w:r>
              <w:t xml:space="preserve">220,978</w:t>
            </w:r>
          </w:p>
        </w:tc>
        <w:tc>
          <w:tcPr/>
          <w:p>
            <w:pPr>
              <w:pStyle w:val="Compact"/>
              <w:jc w:val="left"/>
            </w:pPr>
            <w:r>
              <w:t xml:space="preserve">Day 10 of project</w:t>
            </w:r>
          </w:p>
        </w:tc>
      </w:tr>
      <w:tr>
        <w:tc>
          <w:tcPr/>
          <w:p>
            <w:pPr>
              <w:pStyle w:val="Compact"/>
              <w:jc w:val="left"/>
            </w:pPr>
            <w:r>
              <w:t xml:space="preserve">Final installation, inspection, and handover</w:t>
            </w:r>
          </w:p>
        </w:tc>
        <w:tc>
          <w:tcPr/>
          <w:p>
            <w:pPr>
              <w:pStyle w:val="Compact"/>
              <w:jc w:val="left"/>
            </w:pPr>
            <w:r>
              <w:t xml:space="preserve">30%</w:t>
            </w:r>
          </w:p>
        </w:tc>
        <w:tc>
          <w:tcPr/>
          <w:p>
            <w:pPr>
              <w:pStyle w:val="Compact"/>
              <w:jc w:val="left"/>
            </w:pPr>
            <w:r>
              <w:t xml:space="preserve">165,733</w:t>
            </w:r>
          </w:p>
        </w:tc>
        <w:tc>
          <w:tcPr/>
          <w:p>
            <w:pPr>
              <w:pStyle w:val="Compact"/>
              <w:jc w:val="left"/>
            </w:pPr>
            <w:r>
              <w:t xml:space="preserve">Upon client sign-off</w:t>
            </w:r>
          </w:p>
        </w:tc>
      </w:tr>
    </w:tbl>
    <w:bookmarkEnd w:id="27"/>
    <w:bookmarkStart w:id="28"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this period, pricing may be adjusted to reflect changes in raw material costs in the Egypt Cairo market.</w:t>
      </w:r>
    </w:p>
    <w:p>
      <w:pPr>
        <w:numPr>
          <w:ilvl w:val="0"/>
          <w:numId w:val="1001"/>
        </w:numPr>
        <w:pStyle w:val="Compact"/>
      </w:pPr>
      <w:r>
        <w:t xml:space="preserve">All Carpenter workmanship is guaranteed for a period of twenty-four (24) months from the date of final handover, covering structural integrity, joinery, and finish quality.</w:t>
      </w:r>
    </w:p>
    <w:p>
      <w:pPr>
        <w:numPr>
          <w:ilvl w:val="0"/>
          <w:numId w:val="1001"/>
        </w:numPr>
        <w:pStyle w:val="Compact"/>
      </w:pPr>
      <w:r>
        <w:t xml:space="preserve">The client agrees to provide safe and accessible working conditions at the project site in Egypt Cairo, including electrical access and adequate ventilation for finishing operations.</w:t>
      </w:r>
    </w:p>
    <w:p>
      <w:pPr>
        <w:numPr>
          <w:ilvl w:val="0"/>
          <w:numId w:val="1001"/>
        </w:numPr>
        <w:pStyle w:val="Compact"/>
      </w:pPr>
      <w:r>
        <w:t xml:space="preserve">Any changes to the original scope of work must be documented in a written change order signed by both parties. Additional costs will be calculated at the rates specified in this Quotation Estimate.</w:t>
      </w:r>
    </w:p>
    <w:p>
      <w:pPr>
        <w:numPr>
          <w:ilvl w:val="0"/>
          <w:numId w:val="1001"/>
        </w:numPr>
        <w:pStyle w:val="Compact"/>
      </w:pPr>
      <w:r>
        <w:t xml:space="preserve">The Carpenter team will operate between 08:00 and 17:00 on weekdays (Sunday through Thursday), in compliance with local labor regulations in Egypt Cairo.</w:t>
      </w:r>
    </w:p>
    <w:p>
      <w:pPr>
        <w:numPr>
          <w:ilvl w:val="0"/>
          <w:numId w:val="1001"/>
        </w:numPr>
        <w:pStyle w:val="Compact"/>
      </w:pPr>
      <w:r>
        <w:t xml:space="preserve">All wood materials used are FSC-certified or equivalent, and all finishes are low-VOC, compliant with Egyptian environmental standards.</w:t>
      </w:r>
    </w:p>
    <w:p>
      <w:pPr>
        <w:numPr>
          <w:ilvl w:val="0"/>
          <w:numId w:val="1001"/>
        </w:numPr>
        <w:pStyle w:val="Compact"/>
      </w:pPr>
      <w:r>
        <w:t xml:space="preserve">Disputes arising from this Quotation Estimate shall be resolved through amicable negotiation, failing which they shall be referred to the competent courts in Egypt Cairo.</w:t>
      </w:r>
    </w:p>
    <w:p>
      <w:pPr>
        <w:numPr>
          <w:ilvl w:val="0"/>
          <w:numId w:val="1001"/>
        </w:numPr>
        <w:pStyle w:val="Compact"/>
      </w:pPr>
      <w:r>
        <w:t xml:space="preserve">This Quotation Estimate does not constitute a binding contract until a formal service agreement is executed by both parties.</w:t>
      </w:r>
    </w:p>
    <w:bookmarkEnd w:id="28"/>
    <w:bookmarkStart w:id="29" w:name="acceptance-and-authorization"/>
    <w:p>
      <w:pPr>
        <w:pStyle w:val="Heading2"/>
      </w:pPr>
      <w:r>
        <w:t xml:space="preserve">5. Acceptance and Authorization</w:t>
      </w:r>
    </w:p>
    <w:p>
      <w:pPr>
        <w:pStyle w:val="FirstParagraph"/>
      </w:pPr>
      <w:r>
        <w:rPr>
          <w:bCs/>
          <w:b/>
        </w:rPr>
        <w:t xml:space="preserve">For Al-Nile Master Carpenter Co.</w:t>
      </w:r>
    </w:p>
    <w:p>
      <w:pPr>
        <w:pStyle w:val="BodyText"/>
      </w:pPr>
      <w:r>
        <w:t xml:space="preserve">Authorized Signatory</w:t>
      </w:r>
    </w:p>
    <w:p>
      <w:pPr>
        <w:pStyle w:val="BodyText"/>
      </w:pPr>
      <w:r>
        <w:t xml:space="preserve">Mr. Khaled Mansour</w:t>
      </w:r>
      <w:r>
        <w:br/>
      </w:r>
      <w:r>
        <w:t xml:space="preserve">Lead Carpenter &amp; Project Director</w:t>
      </w:r>
      <w:r>
        <w:br/>
      </w:r>
      <w:r>
        <w:t xml:space="preserve">Date: _______________</w:t>
      </w:r>
    </w:p>
    <w:p>
      <w:pPr>
        <w:pStyle w:val="BodyText"/>
      </w:pPr>
      <w:r>
        <w:rPr>
          <w:bCs/>
          <w:b/>
        </w:rPr>
        <w:t xml:space="preserve">For the Client</w:t>
      </w:r>
    </w:p>
    <w:p>
      <w:pPr>
        <w:pStyle w:val="BodyText"/>
      </w:pPr>
      <w:r>
        <w:t xml:space="preserve">Acceptance of Quotation Estimate</w:t>
      </w:r>
    </w:p>
    <w:p>
      <w:pPr>
        <w:pStyle w:val="BodyText"/>
      </w:pPr>
      <w:r>
        <w:t xml:space="preserve">Mr. Ahmed Hassan El-Sayed</w:t>
      </w:r>
      <w:r>
        <w:br/>
      </w:r>
      <w:r>
        <w:t xml:space="preserve">Client Representative</w:t>
      </w:r>
      <w:r>
        <w:br/>
      </w:r>
      <w:r>
        <w:t xml:space="preserve">Date: _______________</w:t>
      </w:r>
    </w:p>
    <w:p>
      <w:pPr>
        <w:pStyle w:val="BodyText"/>
      </w:pPr>
      <w:r>
        <w:rPr>
          <w:bCs/>
          <w:b/>
        </w:rPr>
        <w:t xml:space="preserve">Note:</w:t>
      </w:r>
      <w:r>
        <w:t xml:space="preserve"> </w:t>
      </w:r>
      <w:r>
        <w:t xml:space="preserve">This Quotation Estimate has been prepared specifically for the Egypt Cairo market and reflects current material pricing, labor rates, and regulatory requirements as of June 2025. Al-Nile Master Carpenter Co. is registered with the Egyptian Ministry of Housing and Urban Development (License No. CPT-CAI-2019-0347) and holds full liability insurance coverage for all Carpenter operations conducted within Egypt Cairo and its surrounding governorates. For any queries regarding this Quotation Estimate, please contact our office at +20 2 3301 5567 or visit our workshop at 42 El-Gomhoreya Street, Dokki, Egypt Cairo.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Egypt Cairo</dc:title>
  <dc:creator/>
  <dc:language>en</dc:language>
  <cp:keywords/>
  <dcterms:created xsi:type="dcterms:W3CDTF">2026-10-10T02:09:59Z</dcterms:created>
  <dcterms:modified xsi:type="dcterms:W3CDTF">2026-10-10T02:09:59Z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