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Carpenter Services &amp; Woodwork Solutions</w:t>
      </w:r>
    </w:p>
    <w:p>
      <w:pPr>
        <w:pStyle w:val="BodyText"/>
      </w:pPr>
      <w:r>
        <w:t xml:space="preserve">Ethiopia Addis Ababa | Bole Sub-City, Woreda 03, House No. 4721</w:t>
      </w:r>
    </w:p>
    <w:p>
      <w:pPr>
        <w:pStyle w:val="BodyText"/>
      </w:pPr>
      <w:r>
        <w:t xml:space="preserve">Tel: +251-11-662-3456 | Email: carpenter.services@addisababa.et</w:t>
      </w:r>
    </w:p>
    <w:bookmarkEnd w:id="20"/>
    <w:bookmarkStart w:id="21" w:name="prepared-by"/>
    <w:p>
      <w:pPr>
        <w:pStyle w:val="Heading3"/>
      </w:pPr>
      <w:r>
        <w:t xml:space="preserve">Prepared By</w:t>
      </w:r>
    </w:p>
    <w:p>
      <w:pPr>
        <w:pStyle w:val="FirstParagraph"/>
      </w:pPr>
      <w:r>
        <w:rPr>
          <w:bCs/>
          <w:b/>
        </w:rPr>
        <w:t xml:space="preserve">Abel Tesfaye</w:t>
      </w:r>
    </w:p>
    <w:p>
      <w:pPr>
        <w:pStyle w:val="BodyText"/>
      </w:pPr>
      <w:r>
        <w:t xml:space="preserve">Lead Carpenter &amp; Project Manager</w:t>
      </w:r>
    </w:p>
    <w:p>
      <w:pPr>
        <w:pStyle w:val="BodyText"/>
      </w:pPr>
      <w:r>
        <w:t xml:space="preserve">Abel Woodcraft &amp; Carpentry Ltd.</w:t>
      </w:r>
    </w:p>
    <w:p>
      <w:pPr>
        <w:pStyle w:val="BodyText"/>
      </w:pPr>
      <w:r>
        <w:t xml:space="preserve">Bole Sub-City, Addis Ababa, Ethiopia</w:t>
      </w:r>
    </w:p>
    <w:bookmarkEnd w:id="21"/>
    <w:bookmarkStart w:id="22" w:name="prepared-for"/>
    <w:p>
      <w:pPr>
        <w:pStyle w:val="Heading3"/>
      </w:pPr>
      <w:r>
        <w:t xml:space="preserve">Prepared For</w:t>
      </w:r>
    </w:p>
    <w:p>
      <w:pPr>
        <w:pStyle w:val="FirstParagraph"/>
      </w:pPr>
      <w:r>
        <w:rPr>
          <w:bCs/>
          <w:b/>
        </w:rPr>
        <w:t xml:space="preserve">Mr. Dawit Alemu</w:t>
      </w:r>
    </w:p>
    <w:p>
      <w:pPr>
        <w:pStyle w:val="BodyText"/>
      </w:pPr>
      <w:r>
        <w:t xml:space="preserve">Residential Client</w:t>
      </w:r>
    </w:p>
    <w:p>
      <w:pPr>
        <w:pStyle w:val="BodyText"/>
      </w:pPr>
      <w:r>
        <w:t xml:space="preserve">Kazanchis, Addis Ababa, Ethiopia</w:t>
      </w:r>
    </w:p>
    <w:p>
      <w:pPr>
        <w:pStyle w:val="BodyText"/>
      </w:pPr>
      <w:r>
        <w:t xml:space="preserve">Tel: +251-91-234-5678</w:t>
      </w:r>
    </w:p>
    <w:bookmarkEnd w:id="22"/>
    <w:p>
      <w:pPr>
        <w:pStyle w:val="BodyText"/>
      </w:pPr>
      <w:r>
        <w:rPr>
          <w:bCs/>
          <w:b/>
        </w:rPr>
        <w:t xml:space="preserve">Quotation Estimate No.:</w:t>
      </w:r>
      <w:r>
        <w:t xml:space="preserve"> </w:t>
      </w:r>
      <w:r>
        <w:t xml:space="preserve">QTE-2025-0487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(until 15 July 2025)</w:t>
      </w:r>
    </w:p>
    <w:p>
      <w:pPr>
        <w:pStyle w:val="BodyText"/>
      </w:pPr>
      <w:r>
        <w:rPr>
          <w:bCs/>
          <w:b/>
        </w:rPr>
        <w:t xml:space="preserve">Project Location:</w:t>
      </w:r>
      <w:r>
        <w:t xml:space="preserve"> </w:t>
      </w:r>
      <w:r>
        <w:t xml:space="preserve">Ethiopia Addis Ababa, Bole</w:t>
      </w:r>
    </w:p>
    <w:bookmarkStart w:id="23"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Abel Woodcraft &amp; Carpentry Ltd., a registered and licensed</w:t>
      </w:r>
      <w:r>
        <w:t xml:space="preserve"> </w:t>
      </w:r>
      <w:r>
        <w:t xml:space="preserve">Carpenter</w:t>
      </w:r>
      <w:r>
        <w:t xml:space="preserve"> </w:t>
      </w:r>
      <w:r>
        <w:t xml:space="preserve">service provider operating in</w:t>
      </w:r>
      <w:r>
        <w:t xml:space="preserve"> </w:t>
      </w:r>
      <w:r>
        <w:t xml:space="preserve">Ethiopia Addis Ababa</w:t>
      </w:r>
      <w:r>
        <w:t xml:space="preserve">, in response to the client's request for comprehensive residential woodwork and carpentry services. Our team of experienced</w:t>
      </w:r>
      <w:r>
        <w:t xml:space="preserve"> </w:t>
      </w:r>
      <w:r>
        <w:t xml:space="preserve">Carpenter</w:t>
      </w:r>
      <w:r>
        <w:t xml:space="preserve"> </w:t>
      </w:r>
      <w:r>
        <w:t xml:space="preserve">professionals has assessed the project requirements and prepared this detailed</w:t>
      </w:r>
      <w:r>
        <w:t xml:space="preserve"> </w:t>
      </w:r>
      <w:r>
        <w:t xml:space="preserve">Quotation Estimate</w:t>
      </w:r>
      <w:r>
        <w:t xml:space="preserve"> </w:t>
      </w:r>
      <w:r>
        <w:t xml:space="preserve">to provide full transparency on all costs, materials, labor, and timelines associated with the work to be performed in the client's residence located in the Bole district of</w:t>
      </w:r>
      <w:r>
        <w:t xml:space="preserve"> </w:t>
      </w:r>
      <w:r>
        <w:t xml:space="preserve">Ethiopia Addis Ababa</w:t>
      </w:r>
      <w:r>
        <w:t xml:space="preserve">.</w:t>
      </w:r>
    </w:p>
    <w:p>
      <w:pPr>
        <w:pStyle w:val="BodyText"/>
      </w:pPr>
      <w:r>
        <w:t xml:space="preserve">The scope of work encompasses custom furniture fabrication, interior wood paneling, built-in storage solutions, door and window frame installation, and general carpentry repairs throughout the property. All work will be executed in accordance with Ethiopian building standards and the specific design preferences communicated by the client during the initial site inspection conducted on 8 June 2025 in</w:t>
      </w:r>
      <w:r>
        <w:t xml:space="preserve"> </w:t>
      </w:r>
      <w:r>
        <w:t xml:space="preserve">Ethiopia Addis Ababa</w:t>
      </w:r>
      <w:r>
        <w:t xml:space="preserv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Carpenter Work</w:t>
            </w:r>
          </w:p>
        </w:tc>
        <w:tc>
          <w:tcPr/>
          <w:p>
            <w:pPr>
              <w:pStyle w:val="Compact"/>
              <w:jc w:val="left"/>
            </w:pPr>
            <w:r>
              <w:t xml:space="preserve">Quantity</w:t>
            </w:r>
          </w:p>
        </w:tc>
        <w:tc>
          <w:tcPr/>
          <w:p>
            <w:pPr>
              <w:pStyle w:val="Compact"/>
              <w:jc w:val="left"/>
            </w:pPr>
            <w:r>
              <w:t xml:space="preserve">Unit (ETB)</w:t>
            </w:r>
          </w:p>
        </w:tc>
        <w:tc>
          <w:tcPr/>
          <w:p>
            <w:pPr>
              <w:pStyle w:val="Compact"/>
              <w:jc w:val="left"/>
            </w:pPr>
            <w:r>
              <w:t xml:space="preserve">Total (ETB)</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Custom solid wood dining table (6-seater) with matching chairs – Mahogany, hand-finished</w:t>
            </w:r>
          </w:p>
        </w:tc>
        <w:tc>
          <w:tcPr/>
          <w:p>
            <w:pPr>
              <w:pStyle w:val="Compact"/>
              <w:jc w:val="left"/>
            </w:pPr>
            <w:r>
              <w:t xml:space="preserve">1 set</w:t>
            </w:r>
          </w:p>
        </w:tc>
        <w:tc>
          <w:tcPr/>
          <w:p>
            <w:pPr>
              <w:pStyle w:val="Compact"/>
              <w:jc w:val="left"/>
            </w:pPr>
            <w:r>
              <w:t xml:space="preserve">48,500</w:t>
            </w:r>
          </w:p>
        </w:tc>
        <w:tc>
          <w:tcPr/>
          <w:p>
            <w:pPr>
              <w:pStyle w:val="Compact"/>
              <w:jc w:val="left"/>
            </w:pPr>
            <w:r>
              <w:t xml:space="preserve">48,500</w:t>
            </w:r>
          </w:p>
        </w:tc>
        <w:tc>
          <w:tcPr/>
          <w:p>
            <w:pPr>
              <w:pStyle w:val="Compact"/>
              <w:jc w:val="left"/>
            </w:pPr>
            <w:r>
              <w:t xml:space="preserve">12 working days</w:t>
            </w:r>
          </w:p>
        </w:tc>
      </w:tr>
      <w:tr>
        <w:tc>
          <w:tcPr/>
          <w:p>
            <w:pPr>
              <w:pStyle w:val="Compact"/>
              <w:jc w:val="left"/>
            </w:pPr>
            <w:r>
              <w:t xml:space="preserve">2</w:t>
            </w:r>
          </w:p>
        </w:tc>
        <w:tc>
          <w:tcPr/>
          <w:p>
            <w:pPr>
              <w:pStyle w:val="Compact"/>
              <w:jc w:val="left"/>
            </w:pPr>
            <w:r>
              <w:t xml:space="preserve">Built-in wardrobe with sliding doors, 3.2m x 2.4m x 0.6m – Pine with veneer finish</w:t>
            </w:r>
          </w:p>
        </w:tc>
        <w:tc>
          <w:tcPr/>
          <w:p>
            <w:pPr>
              <w:pStyle w:val="Compact"/>
              <w:jc w:val="left"/>
            </w:pPr>
            <w:r>
              <w:t xml:space="preserve">2 units</w:t>
            </w:r>
          </w:p>
        </w:tc>
        <w:tc>
          <w:tcPr/>
          <w:p>
            <w:pPr>
              <w:pStyle w:val="Compact"/>
              <w:jc w:val="left"/>
            </w:pPr>
            <w:r>
              <w:t xml:space="preserve">32,000</w:t>
            </w:r>
          </w:p>
        </w:tc>
        <w:tc>
          <w:tcPr/>
          <w:p>
            <w:pPr>
              <w:pStyle w:val="Compact"/>
              <w:jc w:val="left"/>
            </w:pPr>
            <w:r>
              <w:t xml:space="preserve">64,000</w:t>
            </w:r>
          </w:p>
        </w:tc>
        <w:tc>
          <w:tcPr/>
          <w:p>
            <w:pPr>
              <w:pStyle w:val="Compact"/>
              <w:jc w:val="left"/>
            </w:pPr>
            <w:r>
              <w:t xml:space="preserve">10 working days</w:t>
            </w:r>
          </w:p>
        </w:tc>
      </w:tr>
      <w:tr>
        <w:tc>
          <w:tcPr/>
          <w:p>
            <w:pPr>
              <w:pStyle w:val="Compact"/>
              <w:jc w:val="left"/>
            </w:pPr>
            <w:r>
              <w:t xml:space="preserve">3</w:t>
            </w:r>
          </w:p>
        </w:tc>
        <w:tc>
          <w:tcPr/>
          <w:p>
            <w:pPr>
              <w:pStyle w:val="Compact"/>
              <w:jc w:val="left"/>
            </w:pPr>
            <w:r>
              <w:t xml:space="preserve">Interior wood paneling for living room walls (18m x 3m) – Eucalyptus, natural stain</w:t>
            </w:r>
          </w:p>
        </w:tc>
        <w:tc>
          <w:tcPr/>
          <w:p>
            <w:pPr>
              <w:pStyle w:val="Compact"/>
              <w:jc w:val="left"/>
            </w:pPr>
            <w:r>
              <w:t xml:space="preserve">54 sq.m</w:t>
            </w:r>
          </w:p>
        </w:tc>
        <w:tc>
          <w:tcPr/>
          <w:p>
            <w:pPr>
              <w:pStyle w:val="Compact"/>
              <w:jc w:val="left"/>
            </w:pPr>
            <w:r>
              <w:t xml:space="preserve">1,850</w:t>
            </w:r>
          </w:p>
        </w:tc>
        <w:tc>
          <w:tcPr/>
          <w:p>
            <w:pPr>
              <w:pStyle w:val="Compact"/>
              <w:jc w:val="left"/>
            </w:pPr>
            <w:r>
              <w:t xml:space="preserve">99,900</w:t>
            </w:r>
          </w:p>
        </w:tc>
        <w:tc>
          <w:tcPr/>
          <w:p>
            <w:pPr>
              <w:pStyle w:val="Compact"/>
              <w:jc w:val="left"/>
            </w:pPr>
            <w:r>
              <w:t xml:space="preserve">8 working days</w:t>
            </w:r>
          </w:p>
        </w:tc>
      </w:tr>
      <w:tr>
        <w:tc>
          <w:tcPr/>
          <w:p>
            <w:pPr>
              <w:pStyle w:val="Compact"/>
              <w:jc w:val="left"/>
            </w:pPr>
            <w:r>
              <w:t xml:space="preserve">4</w:t>
            </w:r>
          </w:p>
        </w:tc>
        <w:tc>
          <w:tcPr/>
          <w:p>
            <w:pPr>
              <w:pStyle w:val="Compact"/>
              <w:jc w:val="left"/>
            </w:pPr>
            <w:r>
              <w:t xml:space="preserve">Replacement of 4 interior doors with solid wood frames and hinges</w:t>
            </w:r>
          </w:p>
        </w:tc>
        <w:tc>
          <w:tcPr/>
          <w:p>
            <w:pPr>
              <w:pStyle w:val="Compact"/>
              <w:jc w:val="left"/>
            </w:pPr>
            <w:r>
              <w:t xml:space="preserve">4 units</w:t>
            </w:r>
          </w:p>
        </w:tc>
        <w:tc>
          <w:tcPr/>
          <w:p>
            <w:pPr>
              <w:pStyle w:val="Compact"/>
              <w:jc w:val="left"/>
            </w:pPr>
            <w:r>
              <w:t xml:space="preserve">12,500</w:t>
            </w:r>
          </w:p>
        </w:tc>
        <w:tc>
          <w:tcPr/>
          <w:p>
            <w:pPr>
              <w:pStyle w:val="Compact"/>
              <w:jc w:val="left"/>
            </w:pPr>
            <w:r>
              <w:t xml:space="preserve">50,000</w:t>
            </w:r>
          </w:p>
        </w:tc>
        <w:tc>
          <w:tcPr/>
          <w:p>
            <w:pPr>
              <w:pStyle w:val="Compact"/>
              <w:jc w:val="left"/>
            </w:pPr>
            <w:r>
              <w:t xml:space="preserve">6 working days</w:t>
            </w:r>
          </w:p>
        </w:tc>
      </w:tr>
      <w:tr>
        <w:tc>
          <w:tcPr/>
          <w:p>
            <w:pPr>
              <w:pStyle w:val="Compact"/>
              <w:jc w:val="left"/>
            </w:pPr>
            <w:r>
              <w:t xml:space="preserve">5</w:t>
            </w:r>
          </w:p>
        </w:tc>
        <w:tc>
          <w:tcPr/>
          <w:p>
            <w:pPr>
              <w:pStyle w:val="Compact"/>
              <w:jc w:val="left"/>
            </w:pPr>
            <w:r>
              <w:t xml:space="preserve">Custom kitchen cabinetry and countertop support structure – 5.5m linear</w:t>
            </w:r>
          </w:p>
        </w:tc>
        <w:tc>
          <w:tcPr/>
          <w:p>
            <w:pPr>
              <w:pStyle w:val="Compact"/>
              <w:jc w:val="left"/>
            </w:pPr>
            <w:r>
              <w:t xml:space="preserve">1 set</w:t>
            </w:r>
          </w:p>
        </w:tc>
        <w:tc>
          <w:tcPr/>
          <w:p>
            <w:pPr>
              <w:pStyle w:val="Compact"/>
              <w:jc w:val="left"/>
            </w:pPr>
            <w:r>
              <w:t xml:space="preserve">72,000</w:t>
            </w:r>
          </w:p>
        </w:tc>
        <w:tc>
          <w:tcPr/>
          <w:p>
            <w:pPr>
              <w:pStyle w:val="Compact"/>
              <w:jc w:val="left"/>
            </w:pPr>
            <w:r>
              <w:t xml:space="preserve">72,000</w:t>
            </w:r>
          </w:p>
        </w:tc>
        <w:tc>
          <w:tcPr/>
          <w:p>
            <w:pPr>
              <w:pStyle w:val="Compact"/>
              <w:jc w:val="left"/>
            </w:pPr>
            <w:r>
              <w:t xml:space="preserve">14 working days</w:t>
            </w:r>
          </w:p>
        </w:tc>
      </w:tr>
      <w:tr>
        <w:tc>
          <w:tcPr/>
          <w:p>
            <w:pPr>
              <w:pStyle w:val="Compact"/>
              <w:jc w:val="left"/>
            </w:pPr>
            <w:r>
              <w:t xml:space="preserve">6</w:t>
            </w:r>
          </w:p>
        </w:tc>
        <w:tc>
          <w:tcPr/>
          <w:p>
            <w:pPr>
              <w:pStyle w:val="Compact"/>
              <w:jc w:val="left"/>
            </w:pPr>
            <w:r>
              <w:t xml:space="preserve">Window frame repair and re-sealing (8 windows) – existing wood, sanding and varnishing</w:t>
            </w:r>
          </w:p>
        </w:tc>
        <w:tc>
          <w:tcPr/>
          <w:p>
            <w:pPr>
              <w:pStyle w:val="Compact"/>
              <w:jc w:val="left"/>
            </w:pPr>
            <w:r>
              <w:t xml:space="preserve">8 units</w:t>
            </w:r>
          </w:p>
        </w:tc>
        <w:tc>
          <w:tcPr/>
          <w:p>
            <w:pPr>
              <w:pStyle w:val="Compact"/>
              <w:jc w:val="left"/>
            </w:pPr>
            <w:r>
              <w:t xml:space="preserve">3,200</w:t>
            </w:r>
          </w:p>
        </w:tc>
        <w:tc>
          <w:tcPr/>
          <w:p>
            <w:pPr>
              <w:pStyle w:val="Compact"/>
              <w:jc w:val="left"/>
            </w:pPr>
            <w:r>
              <w:t xml:space="preserve">25,600</w:t>
            </w:r>
          </w:p>
        </w:tc>
        <w:tc>
          <w:tcPr/>
          <w:p>
            <w:pPr>
              <w:pStyle w:val="Compact"/>
              <w:jc w:val="left"/>
            </w:pPr>
            <w:r>
              <w:t xml:space="preserve">4 working days</w:t>
            </w:r>
          </w:p>
        </w:tc>
      </w:tr>
      <w:tr>
        <w:tc>
          <w:tcPr/>
          <w:p>
            <w:pPr>
              <w:pStyle w:val="Compact"/>
              <w:jc w:val="left"/>
            </w:pPr>
            <w:r>
              <w:t xml:space="preserve">7</w:t>
            </w:r>
          </w:p>
        </w:tc>
        <w:tc>
          <w:tcPr/>
          <w:p>
            <w:pPr>
              <w:pStyle w:val="Compact"/>
              <w:jc w:val="left"/>
            </w:pPr>
            <w:r>
              <w:t xml:space="preserve">Staircase handrail and balustrade installation – solid Mahogany, 14 steps</w:t>
            </w:r>
          </w:p>
        </w:tc>
        <w:tc>
          <w:tcPr/>
          <w:p>
            <w:pPr>
              <w:pStyle w:val="Compact"/>
              <w:jc w:val="left"/>
            </w:pPr>
            <w:r>
              <w:t xml:space="preserve">1 set</w:t>
            </w:r>
          </w:p>
        </w:tc>
        <w:tc>
          <w:tcPr/>
          <w:p>
            <w:pPr>
              <w:pStyle w:val="Compact"/>
              <w:jc w:val="left"/>
            </w:pPr>
            <w:r>
              <w:t xml:space="preserve">55,000</w:t>
            </w:r>
          </w:p>
        </w:tc>
        <w:tc>
          <w:tcPr/>
          <w:p>
            <w:pPr>
              <w:pStyle w:val="Compact"/>
              <w:jc w:val="left"/>
            </w:pPr>
            <w:r>
              <w:t xml:space="preserve">55,000</w:t>
            </w:r>
          </w:p>
        </w:tc>
        <w:tc>
          <w:tcPr/>
          <w:p>
            <w:pPr>
              <w:pStyle w:val="Compact"/>
              <w:jc w:val="left"/>
            </w:pPr>
            <w:r>
              <w:t xml:space="preserve">9 working days</w:t>
            </w:r>
          </w:p>
        </w:tc>
      </w:tr>
      <w:tr>
        <w:tc>
          <w:tcPr/>
          <w:p>
            <w:pPr>
              <w:pStyle w:val="Compact"/>
              <w:jc w:val="left"/>
            </w:pPr>
            <w:r>
              <w:t xml:space="preserve">8</w:t>
            </w:r>
          </w:p>
        </w:tc>
        <w:tc>
          <w:tcPr/>
          <w:p>
            <w:pPr>
              <w:pStyle w:val="Compact"/>
              <w:jc w:val="left"/>
            </w:pPr>
            <w:r>
              <w:t xml:space="preserve">General carpentry labor, site preparation, and finishing (sanding, staining, varnishing)</w:t>
            </w:r>
          </w:p>
        </w:tc>
        <w:tc>
          <w:tcPr/>
          <w:p>
            <w:pPr>
              <w:pStyle w:val="Compact"/>
              <w:jc w:val="left"/>
            </w:pPr>
            <w:r>
              <w:t xml:space="preserve">1 lot</w:t>
            </w:r>
          </w:p>
        </w:tc>
        <w:tc>
          <w:tcPr/>
          <w:p>
            <w:pPr>
              <w:pStyle w:val="Compact"/>
              <w:jc w:val="left"/>
            </w:pPr>
            <w:r>
              <w:t xml:space="preserve">28,000</w:t>
            </w:r>
          </w:p>
        </w:tc>
        <w:tc>
          <w:tcPr/>
          <w:p>
            <w:pPr>
              <w:pStyle w:val="Compact"/>
              <w:jc w:val="left"/>
            </w:pPr>
            <w:r>
              <w:t xml:space="preserve">28,000</w:t>
            </w:r>
          </w:p>
        </w:tc>
        <w:tc>
          <w:tcPr/>
          <w:p>
            <w:pPr>
              <w:pStyle w:val="Compact"/>
              <w:jc w:val="left"/>
            </w:pPr>
            <w:r>
              <w:t xml:space="preserve">5 working days</w:t>
            </w:r>
          </w:p>
        </w:tc>
      </w:tr>
      <w:tr>
        <w:tc>
          <w:tcPr/>
          <w:p>
            <w:pPr>
              <w:pStyle w:val="Compact"/>
              <w:jc w:val="left"/>
            </w:pPr>
            <w:r>
              <w:t xml:space="preserve">9</w:t>
            </w:r>
          </w:p>
        </w:tc>
        <w:tc>
          <w:tcPr/>
          <w:p>
            <w:pPr>
              <w:pStyle w:val="Compact"/>
              <w:jc w:val="left"/>
            </w:pPr>
            <w:r>
              <w:t xml:space="preserve">Transportation of materials and finished items within Addis Ababa city limits</w:t>
            </w:r>
          </w:p>
        </w:tc>
        <w:tc>
          <w:tcPr/>
          <w:p>
            <w:pPr>
              <w:pStyle w:val="Compact"/>
              <w:jc w:val="left"/>
            </w:pPr>
            <w:r>
              <w:t xml:space="preserve">1 lot</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Included</w:t>
            </w:r>
          </w:p>
        </w:tc>
      </w:tr>
      <w:tr>
        <w:tc>
          <w:tcPr/>
          <w:p>
            <w:pPr>
              <w:pStyle w:val="Compact"/>
              <w:jc w:val="left"/>
            </w:pPr>
            <w:r>
              <w:t xml:space="preserve">10</w:t>
            </w:r>
          </w:p>
        </w:tc>
        <w:tc>
          <w:tcPr/>
          <w:p>
            <w:pPr>
              <w:pStyle w:val="Compact"/>
              <w:jc w:val="left"/>
            </w:pPr>
            <w:r>
              <w:t xml:space="preserve">Project supervision by senior Carpenter and quality inspection</w:t>
            </w:r>
          </w:p>
        </w:tc>
        <w:tc>
          <w:tcPr/>
          <w:p>
            <w:pPr>
              <w:pStyle w:val="Compact"/>
              <w:jc w:val="left"/>
            </w:pPr>
            <w:r>
              <w:t xml:space="preserve">1 lot</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Full duration</w:t>
            </w:r>
          </w:p>
        </w:tc>
      </w:tr>
      <w:tr>
        <w:tc>
          <w:tcPr>
            <w:gridSpan w:val="4"/>
          </w:tcPr>
          <w:p>
            <w:pPr>
              <w:pStyle w:val="Compact"/>
              <w:jc w:val="left"/>
            </w:pPr>
            <w:r>
              <w:t xml:space="preserve">TOTAL ESTIMATED COST (ETB)</w:t>
            </w:r>
          </w:p>
        </w:tc>
        <w:tc>
          <w:tcPr/>
          <w:p>
            <w:pPr>
              <w:pStyle w:val="Compact"/>
              <w:jc w:val="left"/>
            </w:pPr>
            <w:r>
              <w:t xml:space="preserve">466,500</w:t>
            </w:r>
          </w:p>
        </w:tc>
        <w:tc>
          <w:tcPr/>
          <w:p>
            <w:pPr>
              <w:pStyle w:val="Compact"/>
              <w:jc w:val="left"/>
            </w:pPr>
            <w:r>
              <w:t xml:space="preserve">~72 working days</w:t>
            </w:r>
          </w:p>
        </w:tc>
      </w:tr>
    </w:tbl>
    <w:bookmarkEnd w:id="24"/>
    <w:bookmarkStart w:id="25" w:name="materials-and-specifications"/>
    <w:p>
      <w:pPr>
        <w:pStyle w:val="Heading2"/>
      </w:pPr>
      <w:r>
        <w:t xml:space="preserve">3. Materials and Specifications</w:t>
      </w:r>
    </w:p>
    <w:p>
      <w:pPr>
        <w:pStyle w:val="FirstParagraph"/>
      </w:pPr>
      <w:r>
        <w:t xml:space="preserve">All timber and wood products referenced in this</w:t>
      </w:r>
      <w:r>
        <w:t xml:space="preserve"> </w:t>
      </w:r>
      <w:r>
        <w:t xml:space="preserve">Quotation Estimate</w:t>
      </w:r>
      <w:r>
        <w:t xml:space="preserve"> </w:t>
      </w:r>
      <w:r>
        <w:t xml:space="preserve">will be sourced from certified suppliers in</w:t>
      </w:r>
      <w:r>
        <w:t xml:space="preserve"> </w:t>
      </w:r>
      <w:r>
        <w:t xml:space="preserve">Ethiopia Addis Ababa</w:t>
      </w:r>
      <w:r>
        <w:t xml:space="preserve"> </w:t>
      </w:r>
      <w:r>
        <w:t xml:space="preserve">and the surrounding Oromia region. Primary materials include locally harvested Mahogany, Pine, and Eucalyptus, all of which are sustainably sourced and treated for durability. Finishing materials (stains, varnishes, adhesives, and hardware) will be procured from authorized distributors in the Merkato and Bole commercial areas of</w:t>
      </w:r>
      <w:r>
        <w:t xml:space="preserve"> </w:t>
      </w:r>
      <w:r>
        <w:t xml:space="preserve">Ethiopia Addis Ababa</w:t>
      </w:r>
      <w:r>
        <w:t xml:space="preserve">. The</w:t>
      </w:r>
      <w:r>
        <w:t xml:space="preserve"> </w:t>
      </w:r>
      <w:r>
        <w:t xml:space="preserve">Carpenter</w:t>
      </w:r>
      <w:r>
        <w:t xml:space="preserve"> </w:t>
      </w:r>
      <w:r>
        <w:t xml:space="preserve">team will provide material samples for client approval prior to the commencement of fabrication work.</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subject to revision upon expiry due to potential fluctuations in timber and material costs in the</w:t>
      </w:r>
      <w:r>
        <w:t xml:space="preserve"> </w:t>
      </w:r>
      <w:r>
        <w:t xml:space="preserve">Ethiopia Addis Ababa</w:t>
      </w:r>
      <w:r>
        <w:t xml:space="preserve"> </w:t>
      </w:r>
      <w:r>
        <w:t xml:space="preserve">market.</w:t>
      </w:r>
    </w:p>
    <w:p>
      <w:pPr>
        <w:numPr>
          <w:ilvl w:val="0"/>
          <w:numId w:val="1001"/>
        </w:numPr>
        <w:pStyle w:val="Compact"/>
      </w:pPr>
      <w:r>
        <w:t xml:space="preserve">A deposit of 40% of the total estimated amount (ETB 186,600) is required to secure the project schedule and initiate material procurement by the</w:t>
      </w:r>
      <w:r>
        <w:t xml:space="preserve"> </w:t>
      </w:r>
      <w:r>
        <w:t xml:space="preserve">Carpenter</w:t>
      </w:r>
      <w:r>
        <w:t xml:space="preserve"> </w:t>
      </w:r>
      <w:r>
        <w:t xml:space="preserve">workshop team.</w:t>
      </w:r>
    </w:p>
    <w:p>
      <w:pPr>
        <w:numPr>
          <w:ilvl w:val="0"/>
          <w:numId w:val="1001"/>
        </w:numPr>
        <w:pStyle w:val="Compact"/>
      </w:pPr>
      <w:r>
        <w:t xml:space="preserve">The remaining 60% balance (ETB 279,900) shall be payable in two equal installments: 30% upon completion of 50% of the work and 30% upon final inspection and handover.</w:t>
      </w:r>
    </w:p>
    <w:p>
      <w:pPr>
        <w:numPr>
          <w:ilvl w:val="0"/>
          <w:numId w:val="1001"/>
        </w:numPr>
        <w:pStyle w:val="Compact"/>
      </w:pPr>
      <w:r>
        <w:t xml:space="preserve">All payments shall be made in Ethiopian Birr (ETB) via bank transfer to the company account at Commercial Bank of Ethiopia, Addis Ababa branch, or by certified cheque.</w:t>
      </w:r>
    </w:p>
    <w:p>
      <w:pPr>
        <w:numPr>
          <w:ilvl w:val="0"/>
          <w:numId w:val="1001"/>
        </w:numPr>
        <w:pStyle w:val="Compact"/>
      </w:pPr>
      <w:r>
        <w:t xml:space="preserve">The</w:t>
      </w:r>
      <w:r>
        <w:t xml:space="preserve"> </w:t>
      </w:r>
      <w:r>
        <w:t xml:space="preserve">Carpenter</w:t>
      </w:r>
      <w:r>
        <w:t xml:space="preserve"> </w:t>
      </w:r>
      <w:r>
        <w:t xml:space="preserve">service provider warrants all workmanship for a period of twelve (12) months from the date of final acceptance. This warranty covers structural integrity, joint stability, and finish quality under normal residential use conditions.</w:t>
      </w:r>
    </w:p>
    <w:p>
      <w:pPr>
        <w:numPr>
          <w:ilvl w:val="0"/>
          <w:numId w:val="1001"/>
        </w:numPr>
        <w:pStyle w:val="Compact"/>
      </w:pPr>
      <w:r>
        <w:t xml:space="preserve">Any changes to the scope of work requested by the client after the commencement of the project will be subject to a revised</w:t>
      </w:r>
      <w:r>
        <w:t xml:space="preserve"> </w:t>
      </w:r>
      <w:r>
        <w:t xml:space="preserve">Quotation Estimate</w:t>
      </w:r>
      <w:r>
        <w:t xml:space="preserve"> </w:t>
      </w:r>
      <w:r>
        <w:t xml:space="preserve">and mutual written agreement before additional work proceeds.</w:t>
      </w:r>
    </w:p>
    <w:p>
      <w:pPr>
        <w:numPr>
          <w:ilvl w:val="0"/>
          <w:numId w:val="1001"/>
        </w:numPr>
        <w:pStyle w:val="Compact"/>
      </w:pPr>
      <w:r>
        <w:t xml:space="preserve">The project timeline of approximately 72 working days assumes standard weather conditions and uninterrupted access to the site in</w:t>
      </w:r>
      <w:r>
        <w:t xml:space="preserve"> </w:t>
      </w:r>
      <w:r>
        <w:t xml:space="preserve">Ethiopia Addis Ababa</w:t>
      </w:r>
      <w:r>
        <w:t xml:space="preserve">. Delays caused by force majeure, client-requested modifications, or supply chain disruptions will be communicated in writing and the schedule adjusted accordingly.</w:t>
      </w:r>
    </w:p>
    <w:p>
      <w:pPr>
        <w:numPr>
          <w:ilvl w:val="0"/>
          <w:numId w:val="1001"/>
        </w:numPr>
        <w:pStyle w:val="Compact"/>
      </w:pPr>
      <w:r>
        <w:t xml:space="preserve">This</w:t>
      </w:r>
      <w:r>
        <w:t xml:space="preserve"> </w:t>
      </w:r>
      <w:r>
        <w:t xml:space="preserve">Quotation Estimate</w:t>
      </w:r>
      <w:r>
        <w:t xml:space="preserve"> </w:t>
      </w:r>
      <w:r>
        <w:t xml:space="preserve">does not include any municipal permits, structural engineering approvals, or electrical/plumbing modifications that may be required by the Addis Ababa City Administration for the specific works described herein.</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contract shall be resolved through amicable negotiation, and if unresolved, through the competent courts of</w:t>
      </w:r>
      <w:r>
        <w:t xml:space="preserve"> </w:t>
      </w:r>
      <w:r>
        <w:t xml:space="preserve">Ethiopia Addis Ababa</w:t>
      </w:r>
      <w:r>
        <w:t xml:space="preserve"> </w:t>
      </w:r>
      <w:r>
        <w:t xml:space="preserve">in accordance with the Ethiopian Civil Code.</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for the</w:t>
      </w:r>
      <w:r>
        <w:t xml:space="preserve"> </w:t>
      </w:r>
      <w:r>
        <w:t xml:space="preserve">Carpenter</w:t>
      </w:r>
      <w:r>
        <w:t xml:space="preserve"> </w:t>
      </w:r>
      <w:r>
        <w:t xml:space="preserve">services to be performed in</w:t>
      </w:r>
      <w:r>
        <w:t xml:space="preserve"> </w:t>
      </w:r>
      <w:r>
        <w:t xml:space="preserve">Ethiopia Addis Ababa</w:t>
      </w:r>
      <w:r>
        <w:t xml:space="preserve">. This document, once countersigned by both parties, constitutes a binding agreement for the scope of work described herein.</w:t>
      </w:r>
    </w:p>
    <w:p>
      <w:pPr>
        <w:pStyle w:val="BodyText"/>
      </w:pPr>
      <w:r>
        <w:rPr>
          <w:bCs/>
          <w:b/>
        </w:rPr>
        <w:t xml:space="preserve">Abel Tesfaye</w:t>
      </w:r>
      <w:r>
        <w:br/>
      </w:r>
      <w:r>
        <w:t xml:space="preserve">Lead Carpenter &amp; Project Manager</w:t>
      </w:r>
      <w:r>
        <w:br/>
      </w:r>
      <w:r>
        <w:t xml:space="preserve">Abel Woodcraft &amp; Carpentry Ltd.</w:t>
      </w:r>
      <w:r>
        <w:br/>
      </w:r>
      <w:r>
        <w:t xml:space="preserve">Date: _______________</w:t>
      </w:r>
    </w:p>
    <w:p>
      <w:pPr>
        <w:pStyle w:val="BodyText"/>
      </w:pPr>
      <w:r>
        <w:rPr>
          <w:bCs/>
          <w:b/>
        </w:rPr>
        <w:t xml:space="preserve">Mr. Dawit Alemu</w:t>
      </w:r>
      <w:r>
        <w:br/>
      </w:r>
      <w:r>
        <w:t xml:space="preserve">Client / Authorized Signatory</w:t>
      </w:r>
      <w:r>
        <w:br/>
      </w:r>
      <w:r>
        <w:t xml:space="preserve">Date: _______________</w:t>
      </w:r>
    </w:p>
    <w:p>
      <w:pPr>
        <w:pStyle w:val="BodyText"/>
      </w:pPr>
      <w:r>
        <w:t xml:space="preserve">Abel Woodcraft &amp; Carpentry Ltd. | Trade License No. AA/BL/2019/004521 | TIN: 0012345678</w:t>
      </w:r>
    </w:p>
    <w:p>
      <w:pPr>
        <w:pStyle w:val="BodyText"/>
      </w:pPr>
      <w:r>
        <w:t xml:space="preserve">Registered in Addis Ababa, Ethiopia | This Quotation Estimate is generated electronically and is valid without a physical stamp.</w:t>
      </w:r>
    </w:p>
    <w:p>
      <w:pPr>
        <w:pStyle w:val="BodyText"/>
      </w:pPr>
      <w:r>
        <w:t xml:space="preserve">© 2025 Abel Woodcraft &amp; Carpentry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Ethiopia Addis Ababa</dc:title>
  <dc:creator/>
  <dc:language>en</dc:language>
  <cp:keywords/>
  <dcterms:created xsi:type="dcterms:W3CDTF">2026-10-10T02:54:16Z</dcterms:created>
  <dcterms:modified xsi:type="dcterms:W3CDTF">2026-10-10T02:54:16Z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