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Germany</w:t>
      </w:r>
      <w:r>
        <w:t xml:space="preserve"> </w:t>
      </w:r>
      <w:r>
        <w:t xml:space="preserve">Frankfurt</w:t>
      </w:r>
    </w:p>
    <w:bookmarkStart w:id="20" w:name="X664f39fa3a9736a22ac6ece366a530fbc3d1462"/>
    <w:p>
      <w:pPr>
        <w:pStyle w:val="Heading1"/>
      </w:pPr>
      <w:r>
        <w:t xml:space="preserve">Frankfurt Meister Carpentry &amp; Woodwork GmbH</w:t>
      </w:r>
    </w:p>
    <w:p>
      <w:pPr>
        <w:pStyle w:val="FirstParagraph"/>
      </w:pPr>
      <w:r>
        <w:t xml:space="preserve">Waldschmidtstraße 42, 60389 Frankfurt am Main, Germany</w:t>
      </w:r>
    </w:p>
    <w:p>
      <w:pPr>
        <w:pStyle w:val="BodyText"/>
      </w:pPr>
      <w:r>
        <w:t xml:space="preserve">Phone: +49 69 1234 5678 | Email: info@frankfurt-meister-carpentry.de</w:t>
      </w:r>
    </w:p>
    <w:p>
      <w:pPr>
        <w:pStyle w:val="BodyText"/>
      </w:pPr>
      <w:r>
        <w:t xml:space="preserve">USt-IdNr.: DE 298 765 431 | Handwerksrolle Nr.: 4521-8834</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QTE-2025-0847</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Service Location:</w:t>
      </w:r>
      <w:r>
        <w:t xml:space="preserve"> </w:t>
      </w:r>
      <w:r>
        <w:t xml:space="preserve">Germany Frankfurt</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Herr Markus Steinbach</w:t>
      </w:r>
    </w:p>
    <w:p>
      <w:pPr>
        <w:pStyle w:val="BodyText"/>
      </w:pPr>
      <w:r>
        <w:rPr>
          <w:bCs/>
          <w:b/>
        </w:rPr>
        <w:t xml:space="preserve">Address:</w:t>
      </w:r>
      <w:r>
        <w:t xml:space="preserve"> </w:t>
      </w:r>
      <w:r>
        <w:t xml:space="preserve">Bockenheimer Landstraße 118, 60323 Frankfurt am Main</w:t>
      </w:r>
    </w:p>
    <w:p>
      <w:pPr>
        <w:pStyle w:val="BodyText"/>
      </w:pPr>
      <w:r>
        <w:rPr>
          <w:bCs/>
          <w:b/>
        </w:rPr>
        <w:t xml:space="preserve">Phone:</w:t>
      </w:r>
      <w:r>
        <w:t xml:space="preserve"> </w:t>
      </w:r>
      <w:r>
        <w:t xml:space="preserve">+49 69 8765 4321</w:t>
      </w:r>
    </w:p>
    <w:p>
      <w:pPr>
        <w:pStyle w:val="BodyText"/>
      </w:pPr>
      <w:r>
        <w:rPr>
          <w:bCs/>
          <w:b/>
        </w:rPr>
        <w:t xml:space="preserve">Email:</w:t>
      </w:r>
      <w:r>
        <w:t xml:space="preserve"> </w:t>
      </w:r>
      <w:r>
        <w:t xml:space="preserve">m.steinbach@email.de</w:t>
      </w:r>
    </w:p>
    <w:bookmarkEnd w:id="22"/>
    <w:p>
      <w:pPr>
        <w:pStyle w:val="BodyText"/>
      </w:pPr>
      <w:r>
        <w:t xml:space="preserve">Dear Mr. Steinbach,</w:t>
      </w:r>
    </w:p>
    <w:p>
      <w:pPr>
        <w:pStyle w:val="BodyText"/>
      </w:pPr>
      <w:r>
        <w:t xml:space="preserve">Thank you for contacting</w:t>
      </w:r>
      <w:r>
        <w:t xml:space="preserve"> </w:t>
      </w:r>
      <w:r>
        <w:rPr>
          <w:bCs/>
          <w:b/>
        </w:rPr>
        <w:t xml:space="preserve">Frankfurt Meister Carpentry &amp; Woodwork GmbH</w:t>
      </w:r>
      <w:r>
        <w:t xml:space="preserve"> </w:t>
      </w:r>
      <w:r>
        <w:t xml:space="preserve">regarding your residential carpentry project. This</w:t>
      </w:r>
      <w:r>
        <w:t xml:space="preserve"> </w:t>
      </w:r>
      <w:r>
        <w:t xml:space="preserve">Quotation Estimate</w:t>
      </w:r>
      <w:r>
        <w:t xml:space="preserve"> </w:t>
      </w:r>
      <w:r>
        <w:t xml:space="preserve">has been prepared following our on-site inspection of your property located in Germany Frankfurt on 10 June 2025. Our experienced</w:t>
      </w:r>
      <w:r>
        <w:t xml:space="preserve"> </w:t>
      </w:r>
      <w:r>
        <w:t xml:space="preserve">Carpenter</w:t>
      </w:r>
      <w:r>
        <w:t xml:space="preserve"> </w:t>
      </w:r>
      <w:r>
        <w:t xml:space="preserve">team has assessed the full scope of work required and compiled the detailed cost breakdown below. We are committed to delivering exceptional craftsmanship in every project we undertake within the Frankfurt am Main metropolitan area and the surrounding Hesse region.</w:t>
      </w:r>
    </w:p>
    <w:p>
      <w:pPr>
        <w:pStyle w:val="BodyText"/>
      </w:pPr>
      <w:r>
        <w:t xml:space="preserve">Scope of Work – Carpenter Services</w:t>
      </w:r>
    </w:p>
    <w:p>
      <w:pPr>
        <w:pStyle w:val="BodyText"/>
      </w:pPr>
      <w:r>
        <w:t xml:space="preserve">This</w:t>
      </w:r>
      <w:r>
        <w:t xml:space="preserve"> </w:t>
      </w:r>
      <w:r>
        <w:t xml:space="preserve">Quotation Estimate</w:t>
      </w:r>
      <w:r>
        <w:t xml:space="preserve"> </w:t>
      </w:r>
      <w:r>
        <w:t xml:space="preserve">covers the complete carpentry renovation of the ground-floor living area and the construction of a custom built-in wardrobe system in the master bedroom. All work will be performed by our certified</w:t>
      </w:r>
      <w:r>
        <w:t xml:space="preserve"> </w:t>
      </w:r>
      <w:r>
        <w:t xml:space="preserve">Carpenter</w:t>
      </w:r>
      <w:r>
        <w:t xml:space="preserve"> </w:t>
      </w:r>
      <w:r>
        <w:t xml:space="preserve">specialists who hold valid qualifications under the German Handwerksordnung (Crafts Code). The project is scheduled to commence on 1 July 2025 and is estimated for completion by 22 July 2025, subject to material availability and weather conditions.</w:t>
      </w:r>
    </w:p>
    <w:p>
      <w:pPr>
        <w:pStyle w:val="BodyText"/>
      </w:pPr>
      <w:r>
        <w:t xml:space="preserve">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Carpenter Work</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t xml:space="preserve">Removal and disposal of existing damaged floorboards in the living area (approx. 38 m²), including safe handling of old timber waste in compliance with Germany Frankfurt municipal waste regulations</w:t>
            </w:r>
          </w:p>
        </w:tc>
        <w:tc>
          <w:tcPr/>
          <w:p>
            <w:pPr>
              <w:pStyle w:val="Compact"/>
              <w:jc w:val="left"/>
            </w:pPr>
            <w:r>
              <w:t xml:space="preserve">m²</w:t>
            </w:r>
          </w:p>
        </w:tc>
        <w:tc>
          <w:tcPr/>
          <w:p>
            <w:pPr>
              <w:pStyle w:val="Compact"/>
              <w:jc w:val="left"/>
            </w:pPr>
            <w:r>
              <w:t xml:space="preserve">38</w:t>
            </w:r>
          </w:p>
        </w:tc>
        <w:tc>
          <w:tcPr/>
          <w:p>
            <w:pPr>
              <w:pStyle w:val="Compact"/>
              <w:jc w:val="left"/>
            </w:pPr>
            <w:r>
              <w:t xml:space="preserve">18.50</w:t>
            </w:r>
          </w:p>
        </w:tc>
        <w:tc>
          <w:tcPr/>
          <w:p>
            <w:pPr>
              <w:pStyle w:val="Compact"/>
              <w:jc w:val="left"/>
            </w:pPr>
            <w:r>
              <w:t xml:space="preserve">703.00</w:t>
            </w:r>
          </w:p>
        </w:tc>
      </w:tr>
      <w:tr>
        <w:tc>
          <w:tcPr/>
          <w:p>
            <w:pPr>
              <w:pStyle w:val="Compact"/>
              <w:jc w:val="left"/>
            </w:pPr>
            <w:r>
              <w:t xml:space="preserve">2</w:t>
            </w:r>
          </w:p>
        </w:tc>
        <w:tc>
          <w:tcPr/>
          <w:p>
            <w:pPr>
              <w:pStyle w:val="Compact"/>
              <w:jc w:val="left"/>
            </w:pPr>
            <w:r>
              <w:t xml:space="preserve">Supply and installation of new solid oak floorboards (20 mm thickness, FSC-certified, pre-finished with matte oil), including underlayment and expansion joints</w:t>
            </w:r>
          </w:p>
        </w:tc>
        <w:tc>
          <w:tcPr/>
          <w:p>
            <w:pPr>
              <w:pStyle w:val="Compact"/>
              <w:jc w:val="left"/>
            </w:pPr>
            <w:r>
              <w:t xml:space="preserve">m²</w:t>
            </w:r>
          </w:p>
        </w:tc>
        <w:tc>
          <w:tcPr/>
          <w:p>
            <w:pPr>
              <w:pStyle w:val="Compact"/>
              <w:jc w:val="left"/>
            </w:pPr>
            <w:r>
              <w:t xml:space="preserve">38</w:t>
            </w:r>
          </w:p>
        </w:tc>
        <w:tc>
          <w:tcPr/>
          <w:p>
            <w:pPr>
              <w:pStyle w:val="Compact"/>
              <w:jc w:val="left"/>
            </w:pPr>
            <w:r>
              <w:t xml:space="preserve">142.00</w:t>
            </w:r>
          </w:p>
        </w:tc>
        <w:tc>
          <w:tcPr/>
          <w:p>
            <w:pPr>
              <w:pStyle w:val="Compact"/>
              <w:jc w:val="left"/>
            </w:pPr>
            <w:r>
              <w:t xml:space="preserve">5,396.00</w:t>
            </w:r>
          </w:p>
        </w:tc>
      </w:tr>
      <w:tr>
        <w:tc>
          <w:tcPr/>
          <w:p>
            <w:pPr>
              <w:pStyle w:val="Compact"/>
              <w:jc w:val="left"/>
            </w:pPr>
            <w:r>
              <w:t xml:space="preserve">3</w:t>
            </w:r>
          </w:p>
        </w:tc>
        <w:tc>
          <w:tcPr/>
          <w:p>
            <w:pPr>
              <w:pStyle w:val="Compact"/>
              <w:jc w:val="left"/>
            </w:pPr>
            <w:r>
              <w:t xml:space="preserve">Construction and installation of custom built-in wardrobe system in master bedroom (dimensions: 3.2 m wide × 2.4 m high × 0.65 m deep), including sliding doors, internal shelving, hanging rails, and LED strip lighting</w:t>
            </w:r>
          </w:p>
        </w:tc>
        <w:tc>
          <w:tcPr/>
          <w:p>
            <w:pPr>
              <w:pStyle w:val="Compact"/>
              <w:jc w:val="left"/>
            </w:pPr>
            <w:r>
              <w:t xml:space="preserve">Set</w:t>
            </w:r>
          </w:p>
        </w:tc>
        <w:tc>
          <w:tcPr/>
          <w:p>
            <w:pPr>
              <w:pStyle w:val="Compact"/>
              <w:jc w:val="left"/>
            </w:pPr>
            <w:r>
              <w:t xml:space="preserve">1</w:t>
            </w:r>
          </w:p>
        </w:tc>
        <w:tc>
          <w:tcPr/>
          <w:p>
            <w:pPr>
              <w:pStyle w:val="Compact"/>
              <w:jc w:val="left"/>
            </w:pPr>
            <w:r>
              <w:t xml:space="preserve">4,850.00</w:t>
            </w:r>
          </w:p>
        </w:tc>
        <w:tc>
          <w:tcPr/>
          <w:p>
            <w:pPr>
              <w:pStyle w:val="Compact"/>
              <w:jc w:val="left"/>
            </w:pPr>
            <w:r>
              <w:t xml:space="preserve">4,850.00</w:t>
            </w:r>
          </w:p>
        </w:tc>
      </w:tr>
      <w:tr>
        <w:tc>
          <w:tcPr/>
          <w:p>
            <w:pPr>
              <w:pStyle w:val="Compact"/>
              <w:jc w:val="left"/>
            </w:pPr>
            <w:r>
              <w:t xml:space="preserve">4</w:t>
            </w:r>
          </w:p>
        </w:tc>
        <w:tc>
          <w:tcPr/>
          <w:p>
            <w:pPr>
              <w:pStyle w:val="Compact"/>
              <w:jc w:val="left"/>
            </w:pPr>
            <w:r>
              <w:t xml:space="preserve">Repair and reinforcement of existing wooden window frames (4 units) in the living area, including re-sealing, sanding, and application of two coats of exterior-grade wood preservative</w:t>
            </w:r>
          </w:p>
        </w:tc>
        <w:tc>
          <w:tcPr/>
          <w:p>
            <w:pPr>
              <w:pStyle w:val="Compact"/>
              <w:jc w:val="left"/>
            </w:pPr>
            <w:r>
              <w:t xml:space="preserve">Unit</w:t>
            </w:r>
          </w:p>
        </w:tc>
        <w:tc>
          <w:tcPr/>
          <w:p>
            <w:pPr>
              <w:pStyle w:val="Compact"/>
              <w:jc w:val="left"/>
            </w:pPr>
            <w:r>
              <w:t xml:space="preserve">4</w:t>
            </w:r>
          </w:p>
        </w:tc>
        <w:tc>
          <w:tcPr/>
          <w:p>
            <w:pPr>
              <w:pStyle w:val="Compact"/>
              <w:jc w:val="left"/>
            </w:pPr>
            <w:r>
              <w:t xml:space="preserve">320.00</w:t>
            </w:r>
          </w:p>
        </w:tc>
        <w:tc>
          <w:tcPr/>
          <w:p>
            <w:pPr>
              <w:pStyle w:val="Compact"/>
              <w:jc w:val="left"/>
            </w:pPr>
            <w:r>
              <w:t xml:space="preserve">1,280.00</w:t>
            </w:r>
          </w:p>
        </w:tc>
      </w:tr>
      <w:tr>
        <w:tc>
          <w:tcPr/>
          <w:p>
            <w:pPr>
              <w:pStyle w:val="Compact"/>
              <w:jc w:val="left"/>
            </w:pPr>
            <w:r>
              <w:t xml:space="preserve">5</w:t>
            </w:r>
          </w:p>
        </w:tc>
        <w:tc>
          <w:tcPr/>
          <w:p>
            <w:pPr>
              <w:pStyle w:val="Compact"/>
              <w:jc w:val="left"/>
            </w:pPr>
            <w:r>
              <w:t xml:space="preserve">Installation of new solid wood interior door (1.0 m × 2.1 m) with matching frame, hinges, and handle set in the hallway</w:t>
            </w:r>
          </w:p>
        </w:tc>
        <w:tc>
          <w:tcPr/>
          <w:p>
            <w:pPr>
              <w:pStyle w:val="Compact"/>
              <w:jc w:val="left"/>
            </w:pPr>
            <w:r>
              <w:t xml:space="preserve">Set</w:t>
            </w:r>
          </w:p>
        </w:tc>
        <w:tc>
          <w:tcPr/>
          <w:p>
            <w:pPr>
              <w:pStyle w:val="Compact"/>
              <w:jc w:val="left"/>
            </w:pPr>
            <w:r>
              <w:t xml:space="preserve">1</w:t>
            </w:r>
          </w:p>
        </w:tc>
        <w:tc>
          <w:tcPr/>
          <w:p>
            <w:pPr>
              <w:pStyle w:val="Compact"/>
              <w:jc w:val="left"/>
            </w:pPr>
            <w:r>
              <w:t xml:space="preserve">1,150.00</w:t>
            </w:r>
          </w:p>
        </w:tc>
        <w:tc>
          <w:tcPr/>
          <w:p>
            <w:pPr>
              <w:pStyle w:val="Compact"/>
              <w:jc w:val="left"/>
            </w:pPr>
            <w:r>
              <w:t xml:space="preserve">1,150.00</w:t>
            </w:r>
          </w:p>
        </w:tc>
      </w:tr>
      <w:tr>
        <w:tc>
          <w:tcPr/>
          <w:p>
            <w:pPr>
              <w:pStyle w:val="Compact"/>
              <w:jc w:val="left"/>
            </w:pPr>
            <w:r>
              <w:t xml:space="preserve">6</w:t>
            </w:r>
          </w:p>
        </w:tc>
        <w:tc>
          <w:tcPr/>
          <w:p>
            <w:pPr>
              <w:pStyle w:val="Compact"/>
              <w:jc w:val="left"/>
            </w:pPr>
            <w:r>
              <w:t xml:space="preserve">Construction of a custom wooden bookshelf unit (2.0 m wide × 2.2 m high) in the study room, including adjustable shelves and cable management channels</w:t>
            </w:r>
          </w:p>
        </w:tc>
        <w:tc>
          <w:tcPr/>
          <w:p>
            <w:pPr>
              <w:pStyle w:val="Compact"/>
              <w:jc w:val="left"/>
            </w:pPr>
            <w:r>
              <w:t xml:space="preserve">Set</w:t>
            </w:r>
          </w:p>
        </w:tc>
        <w:tc>
          <w:tcPr/>
          <w:p>
            <w:pPr>
              <w:pStyle w:val="Compact"/>
              <w:jc w:val="left"/>
            </w:pPr>
            <w:r>
              <w:t xml:space="preserve">1</w:t>
            </w:r>
          </w:p>
        </w:tc>
        <w:tc>
          <w:tcPr/>
          <w:p>
            <w:pPr>
              <w:pStyle w:val="Compact"/>
              <w:jc w:val="left"/>
            </w:pPr>
            <w:r>
              <w:t xml:space="preserve">2,340.00</w:t>
            </w:r>
          </w:p>
        </w:tc>
        <w:tc>
          <w:tcPr/>
          <w:p>
            <w:pPr>
              <w:pStyle w:val="Compact"/>
              <w:jc w:val="left"/>
            </w:pPr>
            <w:r>
              <w:t xml:space="preserve">2,340.00</w:t>
            </w:r>
          </w:p>
        </w:tc>
      </w:tr>
      <w:tr>
        <w:tc>
          <w:tcPr/>
          <w:p>
            <w:pPr>
              <w:pStyle w:val="Compact"/>
              <w:jc w:val="left"/>
            </w:pPr>
            <w:r>
              <w:t xml:space="preserve">7</w:t>
            </w:r>
          </w:p>
        </w:tc>
        <w:tc>
          <w:tcPr/>
          <w:p>
            <w:pPr>
              <w:pStyle w:val="Compact"/>
              <w:jc w:val="left"/>
            </w:pPr>
            <w:r>
              <w:t xml:space="preserve">General carpentry finishing work: skirting boards, door architraves, and minor structural adjustments throughout the affected rooms</w:t>
            </w:r>
          </w:p>
        </w:tc>
        <w:tc>
          <w:tcPr/>
          <w:p>
            <w:pPr>
              <w:pStyle w:val="Compact"/>
              <w:jc w:val="left"/>
            </w:pPr>
            <w:r>
              <w:t xml:space="preserve">Lot</w:t>
            </w:r>
          </w:p>
        </w:tc>
        <w:tc>
          <w:tcPr/>
          <w:p>
            <w:pPr>
              <w:pStyle w:val="Compact"/>
              <w:jc w:val="left"/>
            </w:pPr>
            <w:r>
              <w:t xml:space="preserve">1</w:t>
            </w:r>
          </w:p>
        </w:tc>
        <w:tc>
          <w:tcPr/>
          <w:p>
            <w:pPr>
              <w:pStyle w:val="Compact"/>
              <w:jc w:val="left"/>
            </w:pPr>
            <w:r>
              <w:t xml:space="preserve">1,680.00</w:t>
            </w:r>
          </w:p>
        </w:tc>
        <w:tc>
          <w:tcPr/>
          <w:p>
            <w:pPr>
              <w:pStyle w:val="Compact"/>
              <w:jc w:val="left"/>
            </w:pPr>
            <w:r>
              <w:t xml:space="preserve">1,680.00</w:t>
            </w:r>
          </w:p>
        </w:tc>
      </w:tr>
      <w:tr>
        <w:tc>
          <w:tcPr/>
          <w:p>
            <w:pPr>
              <w:pStyle w:val="Compact"/>
              <w:jc w:val="left"/>
            </w:pPr>
            <w:r>
              <w:t xml:space="preserve">8</w:t>
            </w:r>
          </w:p>
        </w:tc>
        <w:tc>
          <w:tcPr/>
          <w:p>
            <w:pPr>
              <w:pStyle w:val="Compact"/>
              <w:jc w:val="left"/>
            </w:pPr>
            <w:r>
              <w:t xml:space="preserve">Site preparation, dust extraction, daily cleanup, and final deep clean of all work areas upon project completion in Germany Frankfurt</w:t>
            </w:r>
          </w:p>
        </w:tc>
        <w:tc>
          <w:tcPr/>
          <w:p>
            <w:pPr>
              <w:pStyle w:val="Compact"/>
              <w:jc w:val="left"/>
            </w:pPr>
            <w:r>
              <w:t xml:space="preserve">Lot</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9</w:t>
            </w:r>
          </w:p>
        </w:tc>
        <w:tc>
          <w:tcPr/>
          <w:p>
            <w:pPr>
              <w:pStyle w:val="Compact"/>
              <w:jc w:val="left"/>
            </w:pPr>
            <w:r>
              <w:t xml:space="preserve">Project supervision by lead Carpenter, weekly progress reports, and final handover inspection with client</w:t>
            </w:r>
          </w:p>
        </w:tc>
        <w:tc>
          <w:tcPr/>
          <w:p>
            <w:pPr>
              <w:pStyle w:val="Compact"/>
              <w:jc w:val="left"/>
            </w:pPr>
            <w:r>
              <w:t xml:space="preserve">Lot</w:t>
            </w:r>
          </w:p>
        </w:tc>
        <w:tc>
          <w:tcPr/>
          <w:p>
            <w:pPr>
              <w:pStyle w:val="Compact"/>
              <w:jc w:val="left"/>
            </w:pPr>
            <w:r>
              <w:t xml:space="preserve">1</w:t>
            </w:r>
          </w:p>
        </w:tc>
        <w:tc>
          <w:tcPr/>
          <w:p>
            <w:pPr>
              <w:pStyle w:val="Compact"/>
              <w:jc w:val="left"/>
            </w:pPr>
            <w:r>
              <w:t xml:space="preserve">620.00</w:t>
            </w:r>
          </w:p>
        </w:tc>
        <w:tc>
          <w:tcPr/>
          <w:p>
            <w:pPr>
              <w:pStyle w:val="Compact"/>
              <w:jc w:val="left"/>
            </w:pPr>
            <w:r>
              <w:t xml:space="preserve">620.00</w:t>
            </w:r>
          </w:p>
        </w:tc>
      </w:tr>
      <w:tr>
        <w:tc>
          <w:tcPr>
            <w:gridSpan w:val="5"/>
          </w:tcPr>
          <w:p>
            <w:pPr>
              <w:pStyle w:val="Compact"/>
              <w:jc w:val="left"/>
            </w:pPr>
            <w:r>
              <w:t xml:space="preserve">Subtotal</w:t>
            </w:r>
          </w:p>
        </w:tc>
        <w:tc>
          <w:tcPr/>
          <w:p>
            <w:pPr>
              <w:pStyle w:val="Compact"/>
              <w:jc w:val="left"/>
            </w:pPr>
            <w:r>
              <w:t xml:space="preserve">18,469.00</w:t>
            </w:r>
          </w:p>
        </w:tc>
      </w:tr>
      <w:tr>
        <w:tc>
          <w:tcPr>
            <w:gridSpan w:val="5"/>
          </w:tcPr>
          <w:p>
            <w:pPr>
              <w:pStyle w:val="Compact"/>
              <w:jc w:val="left"/>
            </w:pPr>
            <w:r>
              <w:t xml:space="preserve">VAT (19% – German Standard Rate)</w:t>
            </w:r>
          </w:p>
        </w:tc>
        <w:tc>
          <w:tcPr/>
          <w:p>
            <w:pPr>
              <w:pStyle w:val="Compact"/>
              <w:jc w:val="left"/>
            </w:pPr>
            <w:r>
              <w:t xml:space="preserve">3,509.11</w:t>
            </w:r>
          </w:p>
        </w:tc>
      </w:tr>
      <w:tr>
        <w:tc>
          <w:tcPr>
            <w:gridSpan w:val="5"/>
          </w:tcPr>
          <w:p>
            <w:pPr>
              <w:pStyle w:val="Compact"/>
              <w:jc w:val="left"/>
            </w:pPr>
            <w:r>
              <w:rPr>
                <w:bCs/>
                <w:b/>
              </w:rPr>
              <w:t xml:space="preserve">Grand Total (incl. VAT)</w:t>
            </w:r>
          </w:p>
        </w:tc>
        <w:tc>
          <w:tcPr/>
          <w:p>
            <w:pPr>
              <w:pStyle w:val="Compact"/>
              <w:jc w:val="left"/>
            </w:pPr>
            <w:r>
              <w:rPr>
                <w:bCs/>
                <w:b/>
              </w:rPr>
              <w:t xml:space="preserve">21,978.11</w:t>
            </w:r>
          </w:p>
        </w:tc>
      </w:tr>
    </w:tbl>
    <w:p>
      <w:pPr>
        <w:pStyle w:val="BodyText"/>
      </w:pPr>
      <w:r>
        <w:t xml:space="preserve">Payment Terms</w:t>
      </w:r>
    </w:p>
    <w:p>
      <w:pPr>
        <w:pStyle w:val="BodyText"/>
      </w:pPr>
      <w:r>
        <w:t xml:space="preserve">This</w:t>
      </w:r>
      <w:r>
        <w:t xml:space="preserve"> </w:t>
      </w:r>
      <w:r>
        <w:t xml:space="preserve">Quotation Estimate</w:t>
      </w:r>
      <w:r>
        <w:t xml:space="preserve"> </w:t>
      </w:r>
      <w:r>
        <w:t xml:space="preserve">is based on the following payment schedule: 30% deposit upon acceptance of this quotation to secure the project start date; 40% progress payment upon completion of the flooring and wardrobe installation phases; and the remaining 30% balance due within 14 days of final acceptance and sign-off. All payments are to be made via bank transfer to our account at Commerzbank Frankfurt (IBAN: DE44 5004 0000 0987 6543 21). We do not accept cash payments for amounts exceeding 500 EUR in accordance with German commercial practice.</w:t>
      </w:r>
    </w:p>
    <w:p>
      <w:pPr>
        <w:pStyle w:val="BodyText"/>
      </w:pPr>
      <w:r>
        <w:t xml:space="preserve">Terms and Conditions</w:t>
      </w:r>
    </w:p>
    <w:p>
      <w:pPr>
        <w:numPr>
          <w:ilvl w:val="0"/>
          <w:numId w:val="1001"/>
        </w:numPr>
        <w:pStyle w:val="Compact"/>
      </w:pPr>
      <w:r>
        <w:t xml:space="preserve">This</w:t>
      </w:r>
      <w:r>
        <w:t xml:space="preserve"> </w:t>
      </w:r>
      <w:r>
        <w:t xml:space="preserve">Quotation Estimate</w:t>
      </w:r>
      <w:r>
        <w:t xml:space="preserve"> </w:t>
      </w:r>
      <w:r>
        <w:t xml:space="preserve">is valid for 30 calendar days from the date of issue. After this period, prices may be adjusted to reflect changes in material costs, particularly for timber and hardware sourced from our suppliers in the Frankfurt am Main region.</w:t>
      </w:r>
    </w:p>
    <w:p>
      <w:pPr>
        <w:numPr>
          <w:ilvl w:val="0"/>
          <w:numId w:val="1001"/>
        </w:numPr>
        <w:pStyle w:val="Compact"/>
      </w:pPr>
      <w:r>
        <w:t xml:space="preserve">All carpentry work is guaranteed for a period of 24 months from the date of final acceptance, in accordance with the statutory warranty provisions of the German Civil Code (BGB § 634a ff.).</w:t>
      </w:r>
    </w:p>
    <w:p>
      <w:pPr>
        <w:numPr>
          <w:ilvl w:val="0"/>
          <w:numId w:val="1001"/>
        </w:numPr>
        <w:pStyle w:val="Compact"/>
      </w:pPr>
      <w:r>
        <w:t xml:space="preserve">Our</w:t>
      </w:r>
      <w:r>
        <w:t xml:space="preserve"> </w:t>
      </w:r>
      <w:r>
        <w:t xml:space="preserve">Carpenter</w:t>
      </w:r>
      <w:r>
        <w:t xml:space="preserve"> </w:t>
      </w:r>
      <w:r>
        <w:t xml:space="preserve">team will comply with all applicable building regulations, fire safety codes, and environmental standards in force in Germany Frankfurt and the state of Hesse.</w:t>
      </w:r>
    </w:p>
    <w:p>
      <w:pPr>
        <w:numPr>
          <w:ilvl w:val="0"/>
          <w:numId w:val="1001"/>
        </w:numPr>
        <w:pStyle w:val="Compact"/>
      </w:pPr>
      <w:r>
        <w:t xml:space="preserve">The client is responsible for ensuring that the property is accessible to our team between 07:00 and 18:00 on working days (Monday to Friday). Work will not be performed on German public holidays.</w:t>
      </w:r>
    </w:p>
    <w:p>
      <w:pPr>
        <w:numPr>
          <w:ilvl w:val="0"/>
          <w:numId w:val="1001"/>
        </w:numPr>
        <w:pStyle w:val="Compact"/>
      </w:pPr>
      <w:r>
        <w:t xml:space="preserve">Any additional work requested by the client beyond the scope described in this quotation will be subject to a separate written amendment and additional cost assessment.</w:t>
      </w:r>
    </w:p>
    <w:p>
      <w:pPr>
        <w:numPr>
          <w:ilvl w:val="0"/>
          <w:numId w:val="1001"/>
        </w:numPr>
        <w:pStyle w:val="Compact"/>
      </w:pPr>
      <w:r>
        <w:t xml:space="preserve">Materials specified in this estimate are subject to availability. In the event that a specified material is unavailable, our lead Carpenter will propose an equivalent alternative of comparable quality and finish, with any price difference communicated in writing prior to substitution.</w:t>
      </w:r>
    </w:p>
    <w:p>
      <w:pPr>
        <w:numPr>
          <w:ilvl w:val="0"/>
          <w:numId w:val="1001"/>
        </w:numPr>
        <w:pStyle w:val="Compact"/>
      </w:pPr>
      <w:r>
        <w:t xml:space="preserve">This quotation does not include structural engineering assessments, electrical work, or painting services. These may be arranged separately upon request.</w:t>
      </w:r>
    </w:p>
    <w:p>
      <w:pPr>
        <w:numPr>
          <w:ilvl w:val="0"/>
          <w:numId w:val="1001"/>
        </w:numPr>
        <w:pStyle w:val="Compact"/>
      </w:pPr>
      <w:r>
        <w:t xml:space="preserve">Disputes arising from this contract shall be governed by the laws of the Federal Republic of Germany, with the exclusive jurisdiction of the local court (Amtsgericht) in Frankfurt am Main.</w:t>
      </w:r>
    </w:p>
    <w:p>
      <w:pPr>
        <w:pStyle w:val="FirstParagraph"/>
      </w:pPr>
      <w:r>
        <w:t xml:space="preserve">Acceptance</w:t>
      </w:r>
    </w:p>
    <w:p>
      <w:pPr>
        <w:pStyle w:val="BodyText"/>
      </w:pPr>
      <w:r>
        <w:t xml:space="preserve">By signing below, the client confirms acceptance of this</w:t>
      </w:r>
      <w:r>
        <w:t xml:space="preserve"> </w:t>
      </w:r>
      <w:r>
        <w:t xml:space="preserve">Quotation Estimate</w:t>
      </w:r>
      <w:r>
        <w:t xml:space="preserve"> </w:t>
      </w:r>
      <w:r>
        <w:t xml:space="preserve">and authorizes Frankfurt Meister Carpentry &amp; Woodwork GmbH to commence the described</w:t>
      </w:r>
      <w:r>
        <w:t xml:space="preserve"> </w:t>
      </w:r>
      <w:r>
        <w:t xml:space="preserve">Carpenter</w:t>
      </w:r>
      <w:r>
        <w:t xml:space="preserve"> </w:t>
      </w:r>
      <w:r>
        <w:t xml:space="preserve">services at the specified location in Germany Frankfurt. The project start date of 1 July 2025 is contingent upon receipt of the 30% deposit within 5 business days of signature.</w:t>
      </w:r>
    </w:p>
    <w:p>
      <w:pPr>
        <w:pStyle w:val="BodyText"/>
      </w:pPr>
      <w:r>
        <w:rPr>
          <w:bCs/>
          <w:b/>
        </w:rPr>
        <w:t xml:space="preserve">For Frankfurt Meister Carpentry &amp; Woodwork GmbH</w:t>
      </w:r>
    </w:p>
    <w:p>
      <w:pPr>
        <w:pStyle w:val="BodyText"/>
      </w:pPr>
      <w:r>
        <w:t xml:space="preserve">Name: Dipl.-Ing. Thomas Brandt (Lead Carpenter / Geschäftsführer)</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Client</w:t>
      </w:r>
    </w:p>
    <w:p>
      <w:pPr>
        <w:pStyle w:val="BodyText"/>
      </w:pPr>
      <w:r>
        <w:t xml:space="preserve">Name: Herr Markus Steinbach</w:t>
      </w:r>
    </w:p>
    <w:p>
      <w:pPr>
        <w:pStyle w:val="BodyText"/>
      </w:pPr>
      <w:r>
        <w:t xml:space="preserve">Signature: ___________________________</w:t>
      </w:r>
    </w:p>
    <w:p>
      <w:pPr>
        <w:pStyle w:val="BodyText"/>
      </w:pPr>
      <w:r>
        <w:t xml:space="preserve">Date: ___________________________</w:t>
      </w:r>
    </w:p>
    <w:p>
      <w:pPr>
        <w:pStyle w:val="BodyText"/>
      </w:pPr>
      <w:r>
        <w:t xml:space="preserve">Frankfurt Meister Carpentry &amp; Woodwork GmbH | Waldschmidtstraße 42, 60389 Frankfurt am Main, Germany</w:t>
      </w:r>
    </w:p>
    <w:p>
      <w:pPr>
        <w:pStyle w:val="BodyText"/>
      </w:pPr>
      <w:r>
        <w:t xml:space="preserve">This Quotation Estimate (No. QTE-2025-0847) was generated on 14 June 2025. All prices are in Euro (EUR) and include applicable German VAT unless otherwise stated.</w:t>
      </w:r>
    </w:p>
    <w:p>
      <w:pPr>
        <w:pStyle w:val="BodyText"/>
      </w:pPr>
      <w:r>
        <w:t xml:space="preserve">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Germany Frankfurt</dc:title>
  <dc:creator/>
  <dc:language>en</dc:language>
  <cp:keywords/>
  <dcterms:created xsi:type="dcterms:W3CDTF">2026-10-10T08:27:41Z</dcterms:created>
  <dcterms:modified xsi:type="dcterms:W3CDTF">2026-10-10T08:27:41Z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