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rPr>
          <w:bCs/>
          <w:b/>
        </w:rPr>
        <w:t xml:space="preserve">Abidjan Carpentry &amp; Woodwork Solutions SARL</w:t>
      </w:r>
    </w:p>
    <w:p>
      <w:pPr>
        <w:pStyle w:val="BodyText"/>
      </w:pPr>
      <w:r>
        <w:t xml:space="preserve">12 Boulevard Latrille, Cocody, Abidjan, Ivory Coast</w:t>
      </w:r>
    </w:p>
    <w:p>
      <w:pPr>
        <w:pStyle w:val="BodyText"/>
      </w:pPr>
      <w:r>
        <w:t xml:space="preserve">Tel: +225 27 22 45 67 89 | Email: estimates@abidjancarpentry.ci</w:t>
      </w:r>
    </w:p>
    <w:p>
      <w:pPr>
        <w:pStyle w:val="BodyText"/>
      </w:pPr>
      <w:r>
        <w:t xml:space="preserve">RC: CI-ABJ-2019-B-4521 | NIF: 0045210001234</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QE-ABJ-2025-0347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CFA Franc (XOF)</w:t>
      </w:r>
    </w:p>
    <w:p>
      <w:pPr>
        <w:pStyle w:val="BodyText"/>
      </w:pPr>
      <w:r>
        <w:t xml:space="preserve">Carpenter Services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 Kouassi Adjoua</w:t>
      </w:r>
    </w:p>
    <w:p>
      <w:pPr>
        <w:pStyle w:val="BodyText"/>
      </w:pPr>
      <w:r>
        <w:rPr>
          <w:bCs/>
          <w:b/>
        </w:rPr>
        <w:t xml:space="preserve">Company:</w:t>
      </w:r>
      <w:r>
        <w:t xml:space="preserve"> </w:t>
      </w:r>
      <w:r>
        <w:t xml:space="preserve">Adjoua Immobilier &amp; BTP</w:t>
      </w:r>
    </w:p>
    <w:p>
      <w:pPr>
        <w:pStyle w:val="BodyText"/>
      </w:pPr>
      <w:r>
        <w:rPr>
          <w:bCs/>
          <w:b/>
        </w:rPr>
        <w:t xml:space="preserve">Address:</w:t>
      </w:r>
      <w:r>
        <w:t xml:space="preserve"> </w:t>
      </w:r>
      <w:r>
        <w:t xml:space="preserve">Quartier Angré 8e, Abidjan, Ivory Coast</w:t>
      </w:r>
    </w:p>
    <w:p>
      <w:pPr>
        <w:pStyle w:val="BodyText"/>
      </w:pPr>
      <w:r>
        <w:rPr>
          <w:bCs/>
          <w:b/>
        </w:rPr>
        <w:t xml:space="preserve">Phone:</w:t>
      </w:r>
      <w:r>
        <w:t xml:space="preserve"> </w:t>
      </w:r>
      <w:r>
        <w:t xml:space="preserve">+225 07 08 12 34 56</w:t>
      </w:r>
    </w:p>
    <w:p>
      <w:pPr>
        <w:pStyle w:val="BodyText"/>
      </w:pPr>
      <w:r>
        <w:rPr>
          <w:bCs/>
          <w:b/>
        </w:rPr>
        <w:t xml:space="preserve">Project Site:</w:t>
      </w:r>
      <w:r>
        <w:t xml:space="preserve"> </w:t>
      </w:r>
      <w:r>
        <w:t xml:space="preserve">Zone 4, Abidjan, Ivory Coast</w:t>
      </w:r>
    </w:p>
    <w:bookmarkEnd w:id="22"/>
    <w:p>
      <w:pPr>
        <w:pStyle w:val="BodyText"/>
      </w:pPr>
      <w:r>
        <w:t xml:space="preserve">Scope of Work – Carpenter Services in Ivory Coast Abidjan</w:t>
      </w:r>
    </w:p>
    <w:p>
      <w:pPr>
        <w:pStyle w:val="BodyText"/>
      </w:pPr>
      <w:r>
        <w:t xml:space="preserve">This Quotation Estimate is issued by Abidjan Carpentry &amp; Woodwork Solutions SARL, a licensed and registered Carpenter firm operating in Ivory Coast Abidjan, in response to the client's request for comprehensive carpentry and woodwork services. Our team of qualified Carpenter professionals will execute all woodwork tasks at the designated project site in Zone 4, Abidjan, Ivory Coast, in full compliance with local building codes and the standards set forth by the Ivorian Ministry of Housing and Urban Development. The scope encompasses structural carpentry, interior finishing, custom furniture fabrication, and all associated woodwork required for the completion of the residential and commercial premises described herein.</w:t>
      </w:r>
    </w:p>
    <w:p>
      <w:pPr>
        <w:pStyle w:val="BodyText"/>
      </w:pPr>
      <w:r>
        <w:t xml:space="preserve">Itemized Quotation Estimate – Carpenter Work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Structural timber framing for roof trusses – hardwood (Iroko) sourced locally in Ivory Coast Abidjan</w:t>
            </w:r>
          </w:p>
        </w:tc>
        <w:tc>
          <w:tcPr/>
          <w:p>
            <w:pPr>
              <w:pStyle w:val="Compact"/>
              <w:jc w:val="left"/>
            </w:pPr>
            <w:r>
              <w:t xml:space="preserve">m²</w:t>
            </w:r>
          </w:p>
        </w:tc>
        <w:tc>
          <w:tcPr/>
          <w:p>
            <w:pPr>
              <w:pStyle w:val="Compact"/>
              <w:jc w:val="left"/>
            </w:pPr>
            <w:r>
              <w:t xml:space="preserve">185</w:t>
            </w:r>
          </w:p>
        </w:tc>
        <w:tc>
          <w:tcPr/>
          <w:p>
            <w:pPr>
              <w:pStyle w:val="Compact"/>
              <w:jc w:val="left"/>
            </w:pPr>
            <w:r>
              <w:t xml:space="preserve">45,000</w:t>
            </w:r>
          </w:p>
        </w:tc>
        <w:tc>
          <w:tcPr/>
          <w:p>
            <w:pPr>
              <w:pStyle w:val="Compact"/>
              <w:jc w:val="left"/>
            </w:pPr>
            <w:r>
              <w:t xml:space="preserve">8,325,000</w:t>
            </w:r>
          </w:p>
        </w:tc>
      </w:tr>
      <w:tr>
        <w:tc>
          <w:tcPr/>
          <w:p>
            <w:pPr>
              <w:pStyle w:val="Compact"/>
              <w:jc w:val="left"/>
            </w:pPr>
            <w:r>
              <w:t xml:space="preserve">02</w:t>
            </w:r>
          </w:p>
        </w:tc>
        <w:tc>
          <w:tcPr/>
          <w:p>
            <w:pPr>
              <w:pStyle w:val="Compact"/>
              <w:jc w:val="left"/>
            </w:pPr>
            <w:r>
              <w:t xml:space="preserve">Interior wall paneling and wainscoting – Mahogany veneer, hand-finished by master Carpenter</w:t>
            </w:r>
          </w:p>
        </w:tc>
        <w:tc>
          <w:tcPr/>
          <w:p>
            <w:pPr>
              <w:pStyle w:val="Compact"/>
              <w:jc w:val="left"/>
            </w:pPr>
            <w:r>
              <w:t xml:space="preserve">m²</w:t>
            </w:r>
          </w:p>
        </w:tc>
        <w:tc>
          <w:tcPr/>
          <w:p>
            <w:pPr>
              <w:pStyle w:val="Compact"/>
              <w:jc w:val="left"/>
            </w:pPr>
            <w:r>
              <w:t xml:space="preserve">320</w:t>
            </w:r>
          </w:p>
        </w:tc>
        <w:tc>
          <w:tcPr/>
          <w:p>
            <w:pPr>
              <w:pStyle w:val="Compact"/>
              <w:jc w:val="left"/>
            </w:pPr>
            <w:r>
              <w:t xml:space="preserve">38,500</w:t>
            </w:r>
          </w:p>
        </w:tc>
        <w:tc>
          <w:tcPr/>
          <w:p>
            <w:pPr>
              <w:pStyle w:val="Compact"/>
              <w:jc w:val="left"/>
            </w:pPr>
            <w:r>
              <w:t xml:space="preserve">12,320,000</w:t>
            </w:r>
          </w:p>
        </w:tc>
      </w:tr>
      <w:tr>
        <w:tc>
          <w:tcPr/>
          <w:p>
            <w:pPr>
              <w:pStyle w:val="Compact"/>
              <w:jc w:val="left"/>
            </w:pPr>
            <w:r>
              <w:t xml:space="preserve">03</w:t>
            </w:r>
          </w:p>
        </w:tc>
        <w:tc>
          <w:tcPr/>
          <w:p>
            <w:pPr>
              <w:pStyle w:val="Compact"/>
              <w:jc w:val="left"/>
            </w:pPr>
            <w:r>
              <w:t xml:space="preserve">Custom-built kitchen cabinetry and countertops – solid wood, 12 units</w:t>
            </w:r>
          </w:p>
        </w:tc>
        <w:tc>
          <w:tcPr/>
          <w:p>
            <w:pPr>
              <w:pStyle w:val="Compact"/>
              <w:jc w:val="left"/>
            </w:pPr>
            <w:r>
              <w:t xml:space="preserve">Lot</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Hardwood flooring installation (Teak) – living areas, bedrooms, corridors</w:t>
            </w:r>
          </w:p>
        </w:tc>
        <w:tc>
          <w:tcPr/>
          <w:p>
            <w:pPr>
              <w:pStyle w:val="Compact"/>
              <w:jc w:val="left"/>
            </w:pPr>
            <w:r>
              <w:t xml:space="preserve">m²</w:t>
            </w:r>
          </w:p>
        </w:tc>
        <w:tc>
          <w:tcPr/>
          <w:p>
            <w:pPr>
              <w:pStyle w:val="Compact"/>
              <w:jc w:val="left"/>
            </w:pPr>
            <w:r>
              <w:t xml:space="preserve">410</w:t>
            </w:r>
          </w:p>
        </w:tc>
        <w:tc>
          <w:tcPr/>
          <w:p>
            <w:pPr>
              <w:pStyle w:val="Compact"/>
              <w:jc w:val="left"/>
            </w:pPr>
            <w:r>
              <w:t xml:space="preserve">52,000</w:t>
            </w:r>
          </w:p>
        </w:tc>
        <w:tc>
          <w:tcPr/>
          <w:p>
            <w:pPr>
              <w:pStyle w:val="Compact"/>
              <w:jc w:val="left"/>
            </w:pPr>
            <w:r>
              <w:t xml:space="preserve">21,320,000</w:t>
            </w:r>
          </w:p>
        </w:tc>
      </w:tr>
      <w:tr>
        <w:tc>
          <w:tcPr/>
          <w:p>
            <w:pPr>
              <w:pStyle w:val="Compact"/>
              <w:jc w:val="left"/>
            </w:pPr>
            <w:r>
              <w:t xml:space="preserve">05</w:t>
            </w:r>
          </w:p>
        </w:tc>
        <w:tc>
          <w:tcPr/>
          <w:p>
            <w:pPr>
              <w:pStyle w:val="Compact"/>
              <w:jc w:val="left"/>
            </w:pPr>
            <w:r>
              <w:t xml:space="preserve">Custom interior doors (18 units) – solid wood with ironmongery, installed and fitted</w:t>
            </w:r>
          </w:p>
        </w:tc>
        <w:tc>
          <w:tcPr/>
          <w:p>
            <w:pPr>
              <w:pStyle w:val="Compact"/>
              <w:jc w:val="left"/>
            </w:pPr>
            <w:r>
              <w:t xml:space="preserve">Unit</w:t>
            </w:r>
          </w:p>
        </w:tc>
        <w:tc>
          <w:tcPr/>
          <w:p>
            <w:pPr>
              <w:pStyle w:val="Compact"/>
              <w:jc w:val="left"/>
            </w:pPr>
            <w:r>
              <w:t xml:space="preserve">18</w:t>
            </w:r>
          </w:p>
        </w:tc>
        <w:tc>
          <w:tcPr/>
          <w:p>
            <w:pPr>
              <w:pStyle w:val="Compact"/>
              <w:jc w:val="left"/>
            </w:pPr>
            <w:r>
              <w:t xml:space="preserve">320,000</w:t>
            </w:r>
          </w:p>
        </w:tc>
        <w:tc>
          <w:tcPr/>
          <w:p>
            <w:pPr>
              <w:pStyle w:val="Compact"/>
              <w:jc w:val="left"/>
            </w:pPr>
            <w:r>
              <w:t xml:space="preserve">5,760,000</w:t>
            </w:r>
          </w:p>
        </w:tc>
      </w:tr>
      <w:tr>
        <w:tc>
          <w:tcPr/>
          <w:p>
            <w:pPr>
              <w:pStyle w:val="Compact"/>
              <w:jc w:val="left"/>
            </w:pPr>
            <w:r>
              <w:t xml:space="preserve">06</w:t>
            </w:r>
          </w:p>
        </w:tc>
        <w:tc>
          <w:tcPr/>
          <w:p>
            <w:pPr>
              <w:pStyle w:val="Compact"/>
              <w:jc w:val="left"/>
            </w:pPr>
            <w:r>
              <w:t xml:space="preserve">Built-in wardrobes and storage units – 8 bedrooms, sliding and hinged configurations</w:t>
            </w:r>
          </w:p>
        </w:tc>
        <w:tc>
          <w:tcPr/>
          <w:p>
            <w:pPr>
              <w:pStyle w:val="Compact"/>
              <w:jc w:val="left"/>
            </w:pPr>
            <w:r>
              <w:t xml:space="preserve">Lot</w:t>
            </w:r>
          </w:p>
        </w:tc>
        <w:tc>
          <w:tcPr/>
          <w:p>
            <w:pPr>
              <w:pStyle w:val="Compact"/>
              <w:jc w:val="left"/>
            </w:pPr>
            <w:r>
              <w:t xml:space="preserve">8</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07</w:t>
            </w:r>
          </w:p>
        </w:tc>
        <w:tc>
          <w:tcPr/>
          <w:p>
            <w:pPr>
              <w:pStyle w:val="Compact"/>
              <w:jc w:val="left"/>
            </w:pPr>
            <w:r>
              <w:t xml:space="preserve">Staircase construction and balustrade – solid Iroko wood, 3 flights</w:t>
            </w:r>
          </w:p>
        </w:tc>
        <w:tc>
          <w:tcPr/>
          <w:p>
            <w:pPr>
              <w:pStyle w:val="Compact"/>
              <w:jc w:val="left"/>
            </w:pPr>
            <w:r>
              <w:t xml:space="preserve">Lot</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08</w:t>
            </w:r>
          </w:p>
        </w:tc>
        <w:tc>
          <w:tcPr/>
          <w:p>
            <w:pPr>
              <w:pStyle w:val="Compact"/>
              <w:jc w:val="left"/>
            </w:pPr>
            <w:r>
              <w:t xml:space="preserve">Exterior wooden pergola and garden furniture – treated tropical hardwood</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09</w:t>
            </w:r>
          </w:p>
        </w:tc>
        <w:tc>
          <w:tcPr/>
          <w:p>
            <w:pPr>
              <w:pStyle w:val="Compact"/>
              <w:jc w:val="left"/>
            </w:pPr>
            <w:r>
              <w:t xml:space="preserve">Site preparation, material handling, and waste removal at Abidjan project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10</w:t>
            </w:r>
          </w:p>
        </w:tc>
        <w:tc>
          <w:tcPr/>
          <w:p>
            <w:pPr>
              <w:pStyle w:val="Compact"/>
              <w:jc w:val="left"/>
            </w:pPr>
            <w:r>
              <w:t xml:space="preserve">Final sanding, varnishing, and quality inspection by lead Carpenter supervisor</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Subtotal</w:t>
            </w:r>
          </w:p>
        </w:tc>
        <w:tc>
          <w:tcPr/>
          <w:p>
            <w:pPr>
              <w:pStyle w:val="Compact"/>
              <w:jc w:val="left"/>
            </w:pPr>
            <w:r>
              <w:t xml:space="preserve">84,425,000</w:t>
            </w:r>
          </w:p>
        </w:tc>
      </w:tr>
      <w:tr>
        <w:tc>
          <w:tcPr>
            <w:gridSpan w:val="5"/>
          </w:tcPr>
          <w:p>
            <w:pPr>
              <w:pStyle w:val="Compact"/>
              <w:jc w:val="right"/>
            </w:pPr>
            <w:r>
              <w:t xml:space="preserve">VAT (18% – Ivory Coast standard rate)</w:t>
            </w:r>
          </w:p>
        </w:tc>
        <w:tc>
          <w:tcPr/>
          <w:p>
            <w:pPr>
              <w:pStyle w:val="Compact"/>
              <w:jc w:val="left"/>
            </w:pPr>
            <w:r>
              <w:t xml:space="preserve">15,196,500</w:t>
            </w:r>
          </w:p>
        </w:tc>
      </w:tr>
      <w:tr>
        <w:tc>
          <w:tcPr>
            <w:gridSpan w:val="5"/>
          </w:tcPr>
          <w:p>
            <w:pPr>
              <w:pStyle w:val="Compact"/>
              <w:jc w:val="right"/>
            </w:pPr>
            <w:r>
              <w:t xml:space="preserve">TOTAL QUOTATION ESTIMATE (XOF)</w:t>
            </w:r>
          </w:p>
        </w:tc>
        <w:tc>
          <w:tcPr/>
          <w:p>
            <w:pPr>
              <w:pStyle w:val="Compact"/>
              <w:jc w:val="left"/>
            </w:pPr>
            <w:r>
              <w:t xml:space="preserve">99,621,500</w:t>
            </w:r>
          </w:p>
        </w:tc>
      </w:tr>
    </w:tbl>
    <w:p>
      <w:pPr>
        <w:pStyle w:val="BodyText"/>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(XOF)</w:t>
            </w:r>
          </w:p>
        </w:tc>
        <w:tc>
          <w:tcPr/>
          <w:p>
            <w:pPr>
              <w:pStyle w:val="Compact"/>
              <w:jc w:val="left"/>
            </w:pPr>
            <w:r>
              <w:t xml:space="preserve">Due Date</w:t>
            </w:r>
          </w:p>
        </w:tc>
      </w:tr>
      <w:tr>
        <w:tc>
          <w:tcPr/>
          <w:p>
            <w:pPr>
              <w:pStyle w:val="Compact"/>
              <w:jc w:val="left"/>
            </w:pPr>
            <w:r>
              <w:t xml:space="preserve">Advance payment upon acceptance of this Quotation Estimate</w:t>
            </w:r>
          </w:p>
        </w:tc>
        <w:tc>
          <w:tcPr/>
          <w:p>
            <w:pPr>
              <w:pStyle w:val="Compact"/>
              <w:jc w:val="left"/>
            </w:pPr>
            <w:r>
              <w:t xml:space="preserve">30%</w:t>
            </w:r>
          </w:p>
        </w:tc>
        <w:tc>
          <w:tcPr/>
          <w:p>
            <w:pPr>
              <w:pStyle w:val="Compact"/>
              <w:jc w:val="left"/>
            </w:pPr>
            <w:r>
              <w:t xml:space="preserve">29,886,450</w:t>
            </w:r>
          </w:p>
        </w:tc>
        <w:tc>
          <w:tcPr/>
          <w:p>
            <w:pPr>
              <w:pStyle w:val="Compact"/>
              <w:jc w:val="left"/>
            </w:pPr>
            <w:r>
              <w:t xml:space="preserve">Upon signature</w:t>
            </w:r>
          </w:p>
        </w:tc>
      </w:tr>
      <w:tr>
        <w:tc>
          <w:tcPr/>
          <w:p>
            <w:pPr>
              <w:pStyle w:val="Compact"/>
              <w:jc w:val="left"/>
            </w:pPr>
            <w:r>
              <w:t xml:space="preserve">Progress payment – structural carpentry complete</w:t>
            </w:r>
          </w:p>
        </w:tc>
        <w:tc>
          <w:tcPr/>
          <w:p>
            <w:pPr>
              <w:pStyle w:val="Compact"/>
              <w:jc w:val="left"/>
            </w:pPr>
            <w:r>
              <w:t xml:space="preserve">30%</w:t>
            </w:r>
          </w:p>
        </w:tc>
        <w:tc>
          <w:tcPr/>
          <w:p>
            <w:pPr>
              <w:pStyle w:val="Compact"/>
              <w:jc w:val="left"/>
            </w:pPr>
            <w:r>
              <w:t xml:space="preserve">29,886,450</w:t>
            </w:r>
          </w:p>
        </w:tc>
        <w:tc>
          <w:tcPr/>
          <w:p>
            <w:pPr>
              <w:pStyle w:val="Compact"/>
              <w:jc w:val="left"/>
            </w:pPr>
            <w:r>
              <w:t xml:space="preserve">Week 6</w:t>
            </w:r>
          </w:p>
        </w:tc>
      </w:tr>
      <w:tr>
        <w:tc>
          <w:tcPr/>
          <w:p>
            <w:pPr>
              <w:pStyle w:val="Compact"/>
              <w:jc w:val="left"/>
            </w:pPr>
            <w:r>
              <w:t xml:space="preserve">Progress payment – interior finishing 75% complete</w:t>
            </w:r>
          </w:p>
        </w:tc>
        <w:tc>
          <w:tcPr/>
          <w:p>
            <w:pPr>
              <w:pStyle w:val="Compact"/>
              <w:jc w:val="left"/>
            </w:pPr>
            <w:r>
              <w:t xml:space="preserve">25%</w:t>
            </w:r>
          </w:p>
        </w:tc>
        <w:tc>
          <w:tcPr/>
          <w:p>
            <w:pPr>
              <w:pStyle w:val="Compact"/>
              <w:jc w:val="left"/>
            </w:pPr>
            <w:r>
              <w:t xml:space="preserve">24,905,375</w:t>
            </w:r>
          </w:p>
        </w:tc>
        <w:tc>
          <w:tcPr/>
          <w:p>
            <w:pPr>
              <w:pStyle w:val="Compact"/>
              <w:jc w:val="left"/>
            </w:pPr>
            <w:r>
              <w:t xml:space="preserve">Week 10</w:t>
            </w:r>
          </w:p>
        </w:tc>
      </w:tr>
      <w:tr>
        <w:tc>
          <w:tcPr/>
          <w:p>
            <w:pPr>
              <w:pStyle w:val="Compact"/>
              <w:jc w:val="left"/>
            </w:pPr>
            <w:r>
              <w:t xml:space="preserve">Final payment upon handover and sign-off</w:t>
            </w:r>
          </w:p>
        </w:tc>
        <w:tc>
          <w:tcPr/>
          <w:p>
            <w:pPr>
              <w:pStyle w:val="Compact"/>
              <w:jc w:val="left"/>
            </w:pPr>
            <w:r>
              <w:t xml:space="preserve">15%</w:t>
            </w:r>
          </w:p>
        </w:tc>
        <w:tc>
          <w:tcPr/>
          <w:p>
            <w:pPr>
              <w:pStyle w:val="Compact"/>
              <w:jc w:val="left"/>
            </w:pPr>
            <w:r>
              <w:t xml:space="preserve">14,943,225</w:t>
            </w:r>
          </w:p>
        </w:tc>
        <w:tc>
          <w:tcPr/>
          <w:p>
            <w:pPr>
              <w:pStyle w:val="Compact"/>
              <w:jc w:val="left"/>
            </w:pPr>
            <w:r>
              <w:t xml:space="preserve">Week 14</w:t>
            </w:r>
          </w:p>
        </w:tc>
      </w:tr>
    </w:tbl>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expiry date, prices may be revised due to fluctuations in timber and material costs in the Ivory Coast Abidjan market.</w:t>
      </w:r>
    </w:p>
    <w:p>
      <w:pPr>
        <w:numPr>
          <w:ilvl w:val="0"/>
          <w:numId w:val="1001"/>
        </w:numPr>
        <w:pStyle w:val="Compact"/>
      </w:pPr>
      <w:r>
        <w:t xml:space="preserve">All Carpenter work shall be executed by qualified and experienced Carpenter artisans employed by Abidjan Carpentry &amp; Woodwork Solutions SARL, holding valid professional certifications recognized in Ivory Coast.</w:t>
      </w:r>
    </w:p>
    <w:p>
      <w:pPr>
        <w:numPr>
          <w:ilvl w:val="0"/>
          <w:numId w:val="1001"/>
        </w:numPr>
        <w:pStyle w:val="Compact"/>
      </w:pPr>
      <w:r>
        <w:t xml:space="preserve">The project duration is estimated at fourteen (14) working weeks from the date of commencement, subject to weather conditions and site accessibility in Abidjan, Ivory Coast.</w:t>
      </w:r>
    </w:p>
    <w:p>
      <w:pPr>
        <w:numPr>
          <w:ilvl w:val="0"/>
          <w:numId w:val="1001"/>
        </w:numPr>
        <w:pStyle w:val="Compact"/>
      </w:pPr>
      <w:r>
        <w:t xml:space="preserve">All timber and wood materials shall be sourced from certified sustainable suppliers operating within Ivory Coast, in compliance with Ivorian forestry regulations (CITES and national CFAO standards).</w:t>
      </w:r>
    </w:p>
    <w:p>
      <w:pPr>
        <w:numPr>
          <w:ilvl w:val="0"/>
          <w:numId w:val="1001"/>
        </w:numPr>
        <w:pStyle w:val="Compact"/>
      </w:pPr>
      <w:r>
        <w:t xml:space="preserve">The client shall provide safe and accessible working conditions at the project site in Zone 4, Abidjan, including adequate power supply, water access, and secure storage for materials.</w:t>
      </w:r>
    </w:p>
    <w:p>
      <w:pPr>
        <w:numPr>
          <w:ilvl w:val="0"/>
          <w:numId w:val="1001"/>
        </w:numPr>
        <w:pStyle w:val="Compact"/>
      </w:pPr>
      <w:r>
        <w:t xml:space="preserve">A warranty period of twenty-four (24) months is provided on all Carpenter workmanship from the date of final acceptance. This warranty covers structural defects and workmanship failures but excludes damage caused by misuse, natural disasters, or unauthorized modifications.</w:t>
      </w:r>
    </w:p>
    <w:p>
      <w:pPr>
        <w:numPr>
          <w:ilvl w:val="0"/>
          <w:numId w:val="1001"/>
        </w:numPr>
        <w:pStyle w:val="Compact"/>
      </w:pPr>
      <w:r>
        <w:t xml:space="preserve">Any changes to the scope of work must be agreed upon in writing via a supplementary Quotation Estimate amendment signed by both parties before execution.</w:t>
      </w:r>
    </w:p>
    <w:p>
      <w:pPr>
        <w:numPr>
          <w:ilvl w:val="0"/>
          <w:numId w:val="1001"/>
        </w:numPr>
        <w:pStyle w:val="Compact"/>
      </w:pPr>
      <w:r>
        <w:t xml:space="preserve">Disputes arising from this Quotation Estimate shall be resolved through amicable negotiation, failing which they shall be submitted to the competent courts of Abidjan, Ivory Coast.</w:t>
      </w:r>
    </w:p>
    <w:p>
      <w:pPr>
        <w:numPr>
          <w:ilvl w:val="0"/>
          <w:numId w:val="1001"/>
        </w:numPr>
        <w:pStyle w:val="Compact"/>
      </w:pPr>
      <w:r>
        <w:t xml:space="preserve">This Quotation Estimate is governed by the laws of the Republic of Côte d'Ivoire (Ivory Coast).</w:t>
      </w:r>
    </w:p>
    <w:p>
      <w:pPr>
        <w:pStyle w:val="FirstParagraph"/>
      </w:pPr>
      <w:r>
        <w:t xml:space="preserve">Acceptance and Authorization</w:t>
      </w:r>
    </w:p>
    <w:p>
      <w:pPr>
        <w:pStyle w:val="BodyText"/>
      </w:pPr>
      <w:r>
        <w:t xml:space="preserve">By signing below, the client acknowledges receipt of this Quotation Estimate for Carpenter services in Ivory Coast Abidjan and authorizes Abidjan Carpentry &amp; Woodwork Solutions SARL to proceed with the works as described herein. The advance payment of 30% shall be remitted within five (5) business days of signature to confirm the booking of our Carpenter team and the reservation of materials.</w:t>
      </w:r>
    </w:p>
    <w:p>
      <w:pPr>
        <w:pStyle w:val="BodyText"/>
      </w:pPr>
      <w:r>
        <w:rPr>
          <w:bCs/>
          <w:b/>
        </w:rPr>
        <w:t xml:space="preserve">For Abidjan Carpentry &amp; Woodwork Solutions SARL</w:t>
      </w:r>
    </w:p>
    <w:p>
      <w:pPr>
        <w:pStyle w:val="BodyText"/>
      </w:pPr>
      <w:r>
        <w:t xml:space="preserve">Lead Carpenter / Project Manager</w:t>
      </w:r>
    </w:p>
    <w:p>
      <w:pPr>
        <w:pStyle w:val="BodyText"/>
      </w:pPr>
      <w:r>
        <w:t xml:space="preserve">Name: M. Yao N'Guessan</w:t>
      </w:r>
      <w:r>
        <w:br/>
      </w:r>
      <w:r>
        <w:t xml:space="preserve">Signature &amp; Company Stamp</w:t>
      </w:r>
      <w:r>
        <w:br/>
      </w:r>
      <w:r>
        <w:t xml:space="preserve">Date: _______________</w:t>
      </w:r>
    </w:p>
    <w:p>
      <w:pPr>
        <w:pStyle w:val="BodyText"/>
      </w:pPr>
      <w:r>
        <w:rPr>
          <w:bCs/>
          <w:b/>
        </w:rPr>
        <w:t xml:space="preserve">For the Client</w:t>
      </w:r>
    </w:p>
    <w:p>
      <w:pPr>
        <w:pStyle w:val="BodyText"/>
      </w:pPr>
      <w:r>
        <w:t xml:space="preserve">Adjoua Immobilier &amp; BTP</w:t>
      </w:r>
    </w:p>
    <w:p>
      <w:pPr>
        <w:pStyle w:val="BodyText"/>
      </w:pPr>
      <w:r>
        <w:t xml:space="preserve">Name: M. Kouassi Adjoua</w:t>
      </w:r>
      <w:r>
        <w:br/>
      </w:r>
      <w:r>
        <w:t xml:space="preserve">Signature &amp; Company Stamp</w:t>
      </w:r>
      <w:r>
        <w:br/>
      </w:r>
      <w:r>
        <w:t xml:space="preserve">Date: _______________</w:t>
      </w:r>
    </w:p>
    <w:p>
      <w:pPr>
        <w:pStyle w:val="BodyText"/>
      </w:pPr>
      <w:r>
        <w:t xml:space="preserve">Abidjan Carpentry &amp; Woodwork Solutions SARL – Quotation Estimate QE-ABJ-2025-0347</w:t>
      </w:r>
    </w:p>
    <w:p>
      <w:pPr>
        <w:pStyle w:val="BodyText"/>
      </w:pPr>
      <w:r>
        <w:t xml:space="preserve">12 Boulevard Latrille, Cocody, Abidjan, Ivory Coast | Tel: +225 27 22 45 67 89</w:t>
      </w:r>
    </w:p>
    <w:p>
      <w:pPr>
        <w:pStyle w:val="BodyText"/>
      </w:pPr>
      <w:r>
        <w:t xml:space="preserve">This document is a formal Quotation Estimate for Carpenter services and does not constitute a binding contract until countersigned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Ivory Coast Abidjan</dc:title>
  <dc:creator/>
  <dc:language>en</dc:language>
  <cp:keywords/>
  <dcterms:created xsi:type="dcterms:W3CDTF">2026-10-10T02:32:12Z</dcterms:created>
  <dcterms:modified xsi:type="dcterms:W3CDTF">2026-10-10T02:32:12Z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