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Carpenter Services — Japan Osaka Region</w:t>
      </w:r>
    </w:p>
    <w:p>
      <w:pPr>
        <w:pStyle w:val="BodyText"/>
      </w:pPr>
      <w:r>
        <w:t xml:space="preserve">Document No: QE-OSK-2025-0472  |  Date of Issue: 15 June 2025  |  Valid Until: 15 July 2025</w:t>
      </w:r>
    </w:p>
    <w:bookmarkEnd w:id="20"/>
    <w:bookmarkStart w:id="21" w:name="prepared-by-carpenter-contractor"/>
    <w:p>
      <w:pPr>
        <w:pStyle w:val="Heading3"/>
      </w:pPr>
      <w:r>
        <w:t xml:space="preserve">Prepared By (Carpenter Contractor)</w:t>
      </w:r>
    </w:p>
    <w:p>
      <w:pPr>
        <w:pStyle w:val="FirstParagraph"/>
      </w:pPr>
      <w:r>
        <w:rPr>
          <w:bCs/>
          <w:b/>
        </w:rPr>
        <w:t xml:space="preserve">Kansai Precision Carpentry Co., Ltd.</w:t>
      </w:r>
    </w:p>
    <w:p>
      <w:pPr>
        <w:pStyle w:val="BodyText"/>
      </w:pPr>
      <w:r>
        <w:t xml:space="preserve">Address: 2-14-8 Dotonbori, Chuo-ku, Osaka 542-0071, Japan</w:t>
      </w:r>
    </w:p>
    <w:p>
      <w:pPr>
        <w:pStyle w:val="BodyText"/>
      </w:pPr>
      <w:r>
        <w:t xml:space="preserve">Phone: +81-6-6211-4830</w:t>
      </w:r>
    </w:p>
    <w:p>
      <w:pPr>
        <w:pStyle w:val="BodyText"/>
      </w:pPr>
      <w:r>
        <w:t xml:space="preserve">Email: estimates@kansaicarpentry.jp</w:t>
      </w:r>
    </w:p>
    <w:p>
      <w:pPr>
        <w:pStyle w:val="BodyText"/>
      </w:pPr>
      <w:r>
        <w:t xml:space="preserve">License No: Osaka Prefecture Construction License #OS-2019-08842</w:t>
      </w:r>
    </w:p>
    <w:bookmarkEnd w:id="21"/>
    <w:bookmarkStart w:id="22" w:name="prepared-for-client"/>
    <w:p>
      <w:pPr>
        <w:pStyle w:val="Heading3"/>
      </w:pPr>
      <w:r>
        <w:t xml:space="preserve">Prepared For (Client)</w:t>
      </w:r>
    </w:p>
    <w:p>
      <w:pPr>
        <w:pStyle w:val="FirstParagraph"/>
      </w:pPr>
      <w:r>
        <w:rPr>
          <w:bCs/>
          <w:b/>
        </w:rPr>
        <w:t xml:space="preserve">Mr. Takashi Yamamoto</w:t>
      </w:r>
    </w:p>
    <w:p>
      <w:pPr>
        <w:pStyle w:val="BodyText"/>
      </w:pPr>
      <w:r>
        <w:t xml:space="preserve">Address: 5-3-1 Namba, Chuo-ku, Osaka 556-0011, Japan</w:t>
      </w:r>
    </w:p>
    <w:p>
      <w:pPr>
        <w:pStyle w:val="BodyText"/>
      </w:pPr>
      <w:r>
        <w:t xml:space="preserve">Phone: +81-90-5521-7743</w:t>
      </w:r>
    </w:p>
    <w:p>
      <w:pPr>
        <w:pStyle w:val="BodyText"/>
      </w:pPr>
      <w:r>
        <w:t xml:space="preserve">Email: t.yamamoto@example.jp</w:t>
      </w:r>
    </w:p>
    <w:p>
      <w:pPr>
        <w:pStyle w:val="BodyText"/>
      </w:pPr>
      <w:r>
        <w:t xml:space="preserve">Project Site: 12-7 Tennoji, Sumiyoshi-ku, Osaka 554-0031, Japan</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Kansai Precision Carpentry Co., Ltd. in response to the client's request for comprehensive</w:t>
      </w:r>
      <w:r>
        <w:t xml:space="preserve"> </w:t>
      </w:r>
      <w:r>
        <w:t xml:space="preserve">Carpenter</w:t>
      </w:r>
      <w:r>
        <w:t xml:space="preserve"> </w:t>
      </w:r>
      <w:r>
        <w:t xml:space="preserve">services to be performed at the residential property located in the Sumiyoshi-ku district of</w:t>
      </w:r>
      <w:r>
        <w:t xml:space="preserve"> </w:t>
      </w:r>
      <w:r>
        <w:t xml:space="preserve">Japan Osaka</w:t>
      </w:r>
      <w:r>
        <w:t xml:space="preserve">. The scope of work encompasses structural woodwork, interior finishing, custom cabinetry, and exterior timber restoration. All materials and labor are sourced locally within the</w:t>
      </w:r>
      <w:r>
        <w:t xml:space="preserve"> </w:t>
      </w:r>
      <w:r>
        <w:t xml:space="preserve">Japan Osaka</w:t>
      </w:r>
      <w:r>
        <w:t xml:space="preserve"> </w:t>
      </w:r>
      <w:r>
        <w:t xml:space="preserve">metropolitan area to ensure quality control, timely delivery, and compliance with local building codes and regulations enforced by the Osaka City Construction Standards Office.</w:t>
      </w:r>
    </w:p>
    <w:bookmarkEnd w:id="23"/>
    <w:bookmarkStart w:id="24" w:name="scope-of-work-itemized-costs"/>
    <w:p>
      <w:pPr>
        <w:pStyle w:val="Heading2"/>
      </w:pPr>
      <w:r>
        <w:t xml:space="preserve">2. Scope of Work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Structural timber framing for second-floor extension (Hinoki cypress beams, 120mm x 200mm)</w:t>
            </w:r>
          </w:p>
        </w:tc>
        <w:tc>
          <w:tcPr/>
          <w:p>
            <w:pPr>
              <w:pStyle w:val="Compact"/>
              <w:jc w:val="left"/>
            </w:pPr>
            <w:r>
              <w:t xml:space="preserve">Per m²</w:t>
            </w:r>
          </w:p>
        </w:tc>
        <w:tc>
          <w:tcPr/>
          <w:p>
            <w:pPr>
              <w:pStyle w:val="Compact"/>
              <w:jc w:val="left"/>
            </w:pPr>
            <w:r>
              <w:t xml:space="preserve">45 m²</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t xml:space="preserve">Custom built-in wardrobe and shelving unit (Kiri paulownia wood, 3.2m x 2.4m)</w:t>
            </w:r>
          </w:p>
        </w:tc>
        <w:tc>
          <w:tcPr/>
          <w:p>
            <w:pPr>
              <w:pStyle w:val="Compact"/>
              <w:jc w:val="left"/>
            </w:pPr>
            <w:r>
              <w:t xml:space="preserve">Per set</w:t>
            </w:r>
          </w:p>
        </w:tc>
        <w:tc>
          <w:tcPr/>
          <w:p>
            <w:pPr>
              <w:pStyle w:val="Compact"/>
              <w:jc w:val="left"/>
            </w:pPr>
            <w:r>
              <w:t xml:space="preserve">1 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Interior wall paneling and wainscoting (Sugi cedar, tongue-and-groove)</w:t>
            </w:r>
          </w:p>
        </w:tc>
        <w:tc>
          <w:tcPr/>
          <w:p>
            <w:pPr>
              <w:pStyle w:val="Compact"/>
              <w:jc w:val="left"/>
            </w:pPr>
            <w:r>
              <w:t xml:space="preserve">Per m²</w:t>
            </w:r>
          </w:p>
        </w:tc>
        <w:tc>
          <w:tcPr/>
          <w:p>
            <w:pPr>
              <w:pStyle w:val="Compact"/>
              <w:jc w:val="left"/>
            </w:pPr>
            <w:r>
              <w:t xml:space="preserve">62 m²</w:t>
            </w:r>
          </w:p>
        </w:tc>
        <w:tc>
          <w:tcPr/>
          <w:p>
            <w:pPr>
              <w:pStyle w:val="Compact"/>
              <w:jc w:val="left"/>
            </w:pPr>
            <w:r>
              <w:t xml:space="preserve">9,800</w:t>
            </w:r>
          </w:p>
        </w:tc>
        <w:tc>
          <w:tcPr/>
          <w:p>
            <w:pPr>
              <w:pStyle w:val="Compact"/>
              <w:jc w:val="left"/>
            </w:pPr>
            <w:r>
              <w:t xml:space="preserve">607,600</w:t>
            </w:r>
          </w:p>
        </w:tc>
      </w:tr>
      <w:tr>
        <w:tc>
          <w:tcPr/>
          <w:p>
            <w:pPr>
              <w:pStyle w:val="Compact"/>
              <w:jc w:val="left"/>
            </w:pPr>
            <w:r>
              <w:t xml:space="preserve">4</w:t>
            </w:r>
          </w:p>
        </w:tc>
        <w:tc>
          <w:tcPr/>
          <w:p>
            <w:pPr>
              <w:pStyle w:val="Compact"/>
              <w:jc w:val="left"/>
            </w:pPr>
            <w:r>
              <w:t xml:space="preserve">Exterior veranda (engawa) restoration and re-laying of floor boards</w:t>
            </w:r>
          </w:p>
        </w:tc>
        <w:tc>
          <w:tcPr/>
          <w:p>
            <w:pPr>
              <w:pStyle w:val="Compact"/>
              <w:jc w:val="left"/>
            </w:pPr>
            <w:r>
              <w:t xml:space="preserve">Per m²</w:t>
            </w:r>
          </w:p>
        </w:tc>
        <w:tc>
          <w:tcPr/>
          <w:p>
            <w:pPr>
              <w:pStyle w:val="Compact"/>
              <w:jc w:val="left"/>
            </w:pPr>
            <w:r>
              <w:t xml:space="preserve">18 m²</w:t>
            </w:r>
          </w:p>
        </w:tc>
        <w:tc>
          <w:tcPr/>
          <w:p>
            <w:pPr>
              <w:pStyle w:val="Compact"/>
              <w:jc w:val="left"/>
            </w:pPr>
            <w:r>
              <w:t xml:space="preserve">14,200</w:t>
            </w:r>
          </w:p>
        </w:tc>
        <w:tc>
          <w:tcPr/>
          <w:p>
            <w:pPr>
              <w:pStyle w:val="Compact"/>
              <w:jc w:val="left"/>
            </w:pPr>
            <w:r>
              <w:t xml:space="preserve">255,600</w:t>
            </w:r>
          </w:p>
        </w:tc>
      </w:tr>
      <w:tr>
        <w:tc>
          <w:tcPr/>
          <w:p>
            <w:pPr>
              <w:pStyle w:val="Compact"/>
              <w:jc w:val="left"/>
            </w:pPr>
            <w:r>
              <w:t xml:space="preserve">5</w:t>
            </w:r>
          </w:p>
        </w:tc>
        <w:tc>
          <w:tcPr/>
          <w:p>
            <w:pPr>
              <w:pStyle w:val="Compact"/>
              <w:jc w:val="left"/>
            </w:pPr>
            <w:r>
              <w:t xml:space="preserve">Custom kitchen island with integrated sink cutout (Oak, 2.1m x 0.9m)</w:t>
            </w:r>
          </w:p>
        </w:tc>
        <w:tc>
          <w:tcPr/>
          <w:p>
            <w:pPr>
              <w:pStyle w:val="Compact"/>
              <w:jc w:val="left"/>
            </w:pPr>
            <w:r>
              <w:t xml:space="preserve">Per unit</w:t>
            </w:r>
          </w:p>
        </w:tc>
        <w:tc>
          <w:tcPr/>
          <w:p>
            <w:pPr>
              <w:pStyle w:val="Compact"/>
              <w:jc w:val="left"/>
            </w:pPr>
            <w:r>
              <w:t xml:space="preserve">1 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Staircase repair and handrail replacement (Hinoki, 12 risers)</w:t>
            </w:r>
          </w:p>
        </w:tc>
        <w:tc>
          <w:tcPr/>
          <w:p>
            <w:pPr>
              <w:pStyle w:val="Compact"/>
              <w:jc w:val="left"/>
            </w:pPr>
            <w:r>
              <w:t xml:space="preserve">Per set</w:t>
            </w:r>
          </w:p>
        </w:tc>
        <w:tc>
          <w:tcPr/>
          <w:p>
            <w:pPr>
              <w:pStyle w:val="Compact"/>
              <w:jc w:val="left"/>
            </w:pPr>
            <w:r>
              <w:t xml:space="preserve">1 set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Door frame and panel replacement (4 interior doors, Sugi cedar)</w:t>
            </w:r>
          </w:p>
        </w:tc>
        <w:tc>
          <w:tcPr/>
          <w:p>
            <w:pPr>
              <w:pStyle w:val="Compact"/>
              <w:jc w:val="left"/>
            </w:pPr>
            <w:r>
              <w:t xml:space="preserve">Per door</w:t>
            </w:r>
          </w:p>
        </w:tc>
        <w:tc>
          <w:tcPr/>
          <w:p>
            <w:pPr>
              <w:pStyle w:val="Compact"/>
              <w:jc w:val="left"/>
            </w:pPr>
            <w:r>
              <w:t xml:space="preserve">4 doors</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8</w:t>
            </w:r>
          </w:p>
        </w:tc>
        <w:tc>
          <w:tcPr/>
          <w:p>
            <w:pPr>
              <w:pStyle w:val="Compact"/>
              <w:jc w:val="left"/>
            </w:pPr>
            <w:r>
              <w:t xml:space="preserve">Wooden flooring installation, living area (Sugi cedar, 15mm thick)</w:t>
            </w:r>
          </w:p>
        </w:tc>
        <w:tc>
          <w:tcPr/>
          <w:p>
            <w:pPr>
              <w:pStyle w:val="Compact"/>
              <w:jc w:val="left"/>
            </w:pPr>
            <w:r>
              <w:t xml:space="preserve">Per m²</w:t>
            </w:r>
          </w:p>
        </w:tc>
        <w:tc>
          <w:tcPr/>
          <w:p>
            <w:pPr>
              <w:pStyle w:val="Compact"/>
              <w:jc w:val="left"/>
            </w:pPr>
            <w:r>
              <w:t xml:space="preserve">38 m²</w:t>
            </w:r>
          </w:p>
        </w:tc>
        <w:tc>
          <w:tcPr/>
          <w:p>
            <w:pPr>
              <w:pStyle w:val="Compact"/>
              <w:jc w:val="left"/>
            </w:pPr>
            <w:r>
              <w:t xml:space="preserve">11,500</w:t>
            </w:r>
          </w:p>
        </w:tc>
        <w:tc>
          <w:tcPr/>
          <w:p>
            <w:pPr>
              <w:pStyle w:val="Compact"/>
              <w:jc w:val="left"/>
            </w:pPr>
            <w:r>
              <w:t xml:space="preserve">437,000</w:t>
            </w:r>
          </w:p>
        </w:tc>
      </w:tr>
      <w:tr>
        <w:tc>
          <w:tcPr/>
          <w:p>
            <w:pPr>
              <w:pStyle w:val="Compact"/>
              <w:jc w:val="left"/>
            </w:pPr>
            <w:r>
              <w:t xml:space="preserve">9</w:t>
            </w:r>
          </w:p>
        </w:tc>
        <w:tc>
          <w:tcPr/>
          <w:p>
            <w:pPr>
              <w:pStyle w:val="Compact"/>
              <w:jc w:val="left"/>
            </w:pPr>
            <w:r>
              <w:t xml:space="preserve">Site preparation, material handling, and debris removal</w:t>
            </w:r>
          </w:p>
        </w:tc>
        <w:tc>
          <w:tcPr/>
          <w:p>
            <w:pPr>
              <w:pStyle w:val="Compact"/>
              <w:jc w:val="left"/>
            </w:pPr>
            <w:r>
              <w:t xml:space="preserve">Per day</w:t>
            </w:r>
          </w:p>
        </w:tc>
        <w:tc>
          <w:tcPr/>
          <w:p>
            <w:pPr>
              <w:pStyle w:val="Compact"/>
              <w:jc w:val="left"/>
            </w:pPr>
            <w:r>
              <w:t xml:space="preserve">12 days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10</w:t>
            </w:r>
          </w:p>
        </w:tc>
        <w:tc>
          <w:tcPr/>
          <w:p>
            <w:pPr>
              <w:pStyle w:val="Compact"/>
              <w:jc w:val="left"/>
            </w:pPr>
            <w:r>
              <w:t xml:space="preserve">Final sanding, staining, and natural oil finish application</w:t>
            </w:r>
          </w:p>
        </w:tc>
        <w:tc>
          <w:tcPr/>
          <w:p>
            <w:pPr>
              <w:pStyle w:val="Compact"/>
              <w:jc w:val="left"/>
            </w:pPr>
            <w:r>
              <w:t xml:space="preserve">Per m²</w:t>
            </w:r>
          </w:p>
        </w:tc>
        <w:tc>
          <w:tcPr/>
          <w:p>
            <w:pPr>
              <w:pStyle w:val="Compact"/>
              <w:jc w:val="left"/>
            </w:pPr>
            <w:r>
              <w:t xml:space="preserve">120 m²</w:t>
            </w:r>
          </w:p>
        </w:tc>
        <w:tc>
          <w:tcPr/>
          <w:p>
            <w:pPr>
              <w:pStyle w:val="Compact"/>
              <w:jc w:val="left"/>
            </w:pPr>
            <w:r>
              <w:t xml:space="preserve">3,200</w:t>
            </w:r>
          </w:p>
        </w:tc>
        <w:tc>
          <w:tcPr/>
          <w:p>
            <w:pPr>
              <w:pStyle w:val="Compact"/>
              <w:jc w:val="left"/>
            </w:pPr>
            <w:r>
              <w:t xml:space="preserve">384,000</w:t>
            </w:r>
          </w:p>
        </w:tc>
      </w:tr>
      <w:tr>
        <w:tc>
          <w:tcPr>
            <w:gridSpan w:val="5"/>
          </w:tcPr>
          <w:p>
            <w:pPr>
              <w:pStyle w:val="Compact"/>
              <w:jc w:val="right"/>
            </w:pPr>
            <w:r>
              <w:t xml:space="preserve">Subtotal (Labor + Materials)</w:t>
            </w:r>
          </w:p>
        </w:tc>
        <w:tc>
          <w:tcPr/>
          <w:p>
            <w:pPr>
              <w:pStyle w:val="Compact"/>
              <w:jc w:val="left"/>
            </w:pPr>
            <w:r>
              <w:t xml:space="preserve">4,100,700</w:t>
            </w:r>
          </w:p>
        </w:tc>
      </w:tr>
      <w:tr>
        <w:tc>
          <w:tcPr>
            <w:gridSpan w:val="5"/>
          </w:tcPr>
          <w:p>
            <w:pPr>
              <w:pStyle w:val="Compact"/>
              <w:jc w:val="right"/>
            </w:pPr>
            <w:r>
              <w:t xml:space="preserve">Consumable Materials (fasteners, adhesives, sandpaper, sealants)</w:t>
            </w:r>
          </w:p>
        </w:tc>
        <w:tc>
          <w:tcPr/>
          <w:p>
            <w:pPr>
              <w:pStyle w:val="Compact"/>
              <w:jc w:val="left"/>
            </w:pPr>
            <w:r>
              <w:t xml:space="preserve">186,500</w:t>
            </w:r>
          </w:p>
        </w:tc>
      </w:tr>
      <w:tr>
        <w:tc>
          <w:tcPr>
            <w:gridSpan w:val="5"/>
          </w:tcPr>
          <w:p>
            <w:pPr>
              <w:pStyle w:val="Compact"/>
              <w:jc w:val="right"/>
            </w:pPr>
            <w:r>
              <w:t xml:space="preserve">Consumable Tax (10% JCT)</w:t>
            </w:r>
          </w:p>
        </w:tc>
        <w:tc>
          <w:tcPr/>
          <w:p>
            <w:pPr>
              <w:pStyle w:val="Compact"/>
              <w:jc w:val="left"/>
            </w:pPr>
            <w:r>
              <w:t xml:space="preserve">428,720</w:t>
            </w:r>
          </w:p>
        </w:tc>
      </w:tr>
      <w:tr>
        <w:tc>
          <w:tcPr>
            <w:gridSpan w:val="5"/>
          </w:tcPr>
          <w:p>
            <w:pPr>
              <w:pStyle w:val="Compact"/>
              <w:jc w:val="right"/>
            </w:pPr>
            <w:r>
              <w:t xml:space="preserve">GRAND TOTAL</w:t>
            </w:r>
          </w:p>
        </w:tc>
        <w:tc>
          <w:tcPr/>
          <w:p>
            <w:pPr>
              <w:pStyle w:val="Compact"/>
              <w:jc w:val="left"/>
            </w:pPr>
            <w:r>
              <w:t xml:space="preserve">4,715,920 JPY</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Carpenter</w:t>
      </w:r>
      <w:r>
        <w:t xml:space="preserve"> </w:t>
      </w:r>
      <w:r>
        <w:t xml:space="preserve">team assigned to this project in</w:t>
      </w:r>
      <w:r>
        <w:t xml:space="preserve"> </w:t>
      </w:r>
      <w:r>
        <w:t xml:space="preserve">Japan Osaka</w:t>
      </w:r>
      <w:r>
        <w:t xml:space="preserve"> </w:t>
      </w:r>
      <w:r>
        <w:t xml:space="preserve">consists of one master carpenter (Shokunin), two skilled journeymen, and one apprentice. The estimated duration of the project is</w:t>
      </w:r>
      <w:r>
        <w:t xml:space="preserve"> </w:t>
      </w:r>
      <w:r>
        <w:rPr>
          <w:bCs/>
          <w:b/>
        </w:rPr>
        <w:t xml:space="preserve">22 working days</w:t>
      </w:r>
      <w:r>
        <w:t xml:space="preserve">, commencing on 1 July 2025 and concluding by 28 July 2025, subject to weather conditions and material availability. A detailed weekly schedule will be provided upon acceptance of this</w:t>
      </w:r>
      <w:r>
        <w:t xml:space="preserve"> </w:t>
      </w:r>
      <w:r>
        <w:t xml:space="preserve">Quotation Estimate</w:t>
      </w:r>
      <w:r>
        <w:t xml:space="preserve">.</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current lumber market rates in the</w:t>
      </w:r>
      <w:r>
        <w:t xml:space="preserve"> </w:t>
      </w:r>
      <w:r>
        <w:t xml:space="preserve">Japan Osaka</w:t>
      </w:r>
      <w:r>
        <w:t xml:space="preserve"> </w:t>
      </w:r>
      <w:r>
        <w:t xml:space="preserve">region.</w:t>
      </w:r>
    </w:p>
    <w:p>
      <w:pPr>
        <w:pStyle w:val="BodyText"/>
      </w:pPr>
      <w:r>
        <w:rPr>
          <w:bCs/>
          <w:b/>
        </w:rPr>
        <w:t xml:space="preserve">4.2</w:t>
      </w:r>
      <w:r>
        <w:t xml:space="preserve"> </w:t>
      </w:r>
      <w:r>
        <w:t xml:space="preserve">Payment shall be made in three installments: 30% upon contract signing, 40% upon completion of structural framing, and 30% upon final inspection and handover. All payments are to be made in Japanese Yen (JPY) via bank transfer to the account specified in the contract.</w:t>
      </w:r>
    </w:p>
    <w:p>
      <w:pPr>
        <w:pStyle w:val="BodyText"/>
      </w:pPr>
      <w:r>
        <w:rPr>
          <w:bCs/>
          <w:b/>
        </w:rPr>
        <w:t xml:space="preserve">4.3</w:t>
      </w:r>
      <w:r>
        <w:t xml:space="preserve"> </w:t>
      </w:r>
      <w:r>
        <w:t xml:space="preserve">The</w:t>
      </w:r>
      <w:r>
        <w:t xml:space="preserve"> </w:t>
      </w:r>
      <w:r>
        <w:t xml:space="preserve">Carpenter</w:t>
      </w:r>
      <w:r>
        <w:t xml:space="preserve"> </w:t>
      </w:r>
      <w:r>
        <w:t xml:space="preserve">contractor guarantees all workmanship for a period of two (2) years from the date of completion. This warranty covers structural integrity, joinery, and finish defects but does not cover damage caused by natural disasters, improper use, or third-party modifications.</w:t>
      </w:r>
    </w:p>
    <w:p>
      <w:pPr>
        <w:pStyle w:val="BodyText"/>
      </w:pPr>
      <w:r>
        <w:rPr>
          <w:bCs/>
          <w:b/>
        </w:rPr>
        <w:t xml:space="preserve">4.4</w:t>
      </w:r>
      <w:r>
        <w:t xml:space="preserve"> </w:t>
      </w:r>
      <w:r>
        <w:t xml:space="preserve">All materials used shall comply with the Japanese Industrial Standards (JIS) for timber products. The</w:t>
      </w:r>
      <w:r>
        <w:t xml:space="preserve"> </w:t>
      </w:r>
      <w:r>
        <w:t xml:space="preserve">Carpenter</w:t>
      </w:r>
      <w:r>
        <w:t xml:space="preserve"> </w:t>
      </w:r>
      <w:r>
        <w:t xml:space="preserve">team will provide material certificates and FSC (Forest Stewardship Council) documentation upon request.</w:t>
      </w:r>
    </w:p>
    <w:p>
      <w:pPr>
        <w:pStyle w:val="BodyText"/>
      </w:pPr>
      <w:r>
        <w:rPr>
          <w:bCs/>
          <w:b/>
        </w:rPr>
        <w:t xml:space="preserve">4.5</w:t>
      </w:r>
      <w:r>
        <w:t xml:space="preserve"> </w:t>
      </w:r>
      <w:r>
        <w:t xml:space="preserve">The client is responsible for obtaining all necessary permits from the Osaka City Building Standards Division prior to the commencement of structural work. The</w:t>
      </w:r>
      <w:r>
        <w:t xml:space="preserve"> </w:t>
      </w:r>
      <w:r>
        <w:t xml:space="preserve">Carpenter</w:t>
      </w:r>
      <w:r>
        <w:t xml:space="preserve"> </w:t>
      </w:r>
      <w:r>
        <w:t xml:space="preserve">contractor will assist in preparing technical drawings for permit submission at no additional cost.</w:t>
      </w:r>
    </w:p>
    <w:p>
      <w:pPr>
        <w:pStyle w:val="BodyText"/>
      </w:pPr>
      <w:r>
        <w:rPr>
          <w:bCs/>
          <w:b/>
        </w:rPr>
        <w:t xml:space="preserve">4.6</w:t>
      </w:r>
      <w:r>
        <w:t xml:space="preserve"> </w:t>
      </w:r>
      <w:r>
        <w:t xml:space="preserve">Any changes to the scope of work requested by the client after this</w:t>
      </w:r>
      <w:r>
        <w:t xml:space="preserve"> </w:t>
      </w:r>
      <w:r>
        <w:t xml:space="preserve">Quotation Estimate</w:t>
      </w:r>
      <w:r>
        <w:t xml:space="preserve"> </w:t>
      </w:r>
      <w:r>
        <w:t xml:space="preserve">has been accepted will be subject to a written change order with revised pricing and timeline adjustments.</w:t>
      </w:r>
    </w:p>
    <w:p>
      <w:pPr>
        <w:pStyle w:val="BodyText"/>
      </w:pPr>
      <w:r>
        <w:rPr>
          <w:bCs/>
          <w:b/>
        </w:rPr>
        <w:t xml:space="preserve">4.7</w:t>
      </w:r>
      <w:r>
        <w:t xml:space="preserve"> </w:t>
      </w:r>
      <w:r>
        <w:t xml:space="preserve">The</w:t>
      </w:r>
      <w:r>
        <w:t xml:space="preserve"> </w:t>
      </w:r>
      <w:r>
        <w:t xml:space="preserve">Carpenter</w:t>
      </w:r>
      <w:r>
        <w:t xml:space="preserve"> </w:t>
      </w:r>
      <w:r>
        <w:t xml:space="preserve">contractor maintains full liability insurance and workers' compensation coverage as required by Japanese law. Proof of insurance will be provided upon request.</w:t>
      </w:r>
    </w:p>
    <w:p>
      <w:pPr>
        <w:pStyle w:val="BodyText"/>
      </w:pPr>
      <w:r>
        <w:rPr>
          <w:bCs/>
          <w:b/>
        </w:rPr>
        <w:t xml:space="preserve">4.8</w:t>
      </w:r>
      <w:r>
        <w:t xml:space="preserve"> </w:t>
      </w:r>
      <w:r>
        <w:t xml:space="preserve">Disputes arising from this agreement shall be resolved through mediation in accordance with the Osaka District Court jurisdiction.</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Carpenter</w:t>
      </w:r>
      <w:r>
        <w:t xml:space="preserve"> </w:t>
      </w:r>
      <w:r>
        <w:t xml:space="preserve">services to be performed in</w:t>
      </w:r>
      <w:r>
        <w:t xml:space="preserve"> </w:t>
      </w:r>
      <w:r>
        <w:t xml:space="preserve">Japan Osaka</w:t>
      </w:r>
      <w:r>
        <w:t xml:space="preserve">. This document, once countersigned by both parties, constitutes a binding agreement.</w:t>
      </w:r>
    </w:p>
    <w:p>
      <w:pPr>
        <w:pStyle w:val="BodyText"/>
      </w:pPr>
      <w:r>
        <w:rPr>
          <w:bCs/>
          <w:b/>
        </w:rPr>
        <w:t xml:space="preserve">For Kansai Precision Carpentry Co., Ltd.</w:t>
      </w:r>
    </w:p>
    <w:p>
      <w:pPr>
        <w:pStyle w:val="BodyText"/>
      </w:pPr>
      <w:r>
        <w:t xml:space="preserve">Master Carpenter / Project Lead</w:t>
      </w:r>
    </w:p>
    <w:p>
      <w:pPr>
        <w:pStyle w:val="BodyText"/>
      </w:pPr>
      <w:r>
        <w:t xml:space="preserve">Name: Kenji Sato</w:t>
      </w:r>
      <w:r>
        <w:br/>
      </w:r>
      <w:r>
        <w:t xml:space="preserve">Signature &amp; Company Seal (Hanko)</w:t>
      </w:r>
      <w:r>
        <w:br/>
      </w:r>
      <w:r>
        <w:t xml:space="preserve">Date: _______________</w:t>
      </w:r>
    </w:p>
    <w:p>
      <w:pPr>
        <w:pStyle w:val="BodyText"/>
      </w:pPr>
      <w:r>
        <w:rPr>
          <w:bCs/>
          <w:b/>
        </w:rPr>
        <w:t xml:space="preserve">For the Client</w:t>
      </w:r>
    </w:p>
    <w:p>
      <w:pPr>
        <w:pStyle w:val="BodyText"/>
      </w:pPr>
      <w:r>
        <w:t xml:space="preserve">Property Owner</w:t>
      </w:r>
    </w:p>
    <w:p>
      <w:pPr>
        <w:pStyle w:val="BodyText"/>
      </w:pPr>
      <w:r>
        <w:t xml:space="preserve">Name: Takashi Yamamoto</w:t>
      </w:r>
      <w:r>
        <w:br/>
      </w:r>
      <w:r>
        <w:t xml:space="preserve">Signature</w:t>
      </w:r>
      <w:r>
        <w:br/>
      </w:r>
      <w:r>
        <w:t xml:space="preserve">Date: _______________</w:t>
      </w:r>
    </w:p>
    <w:p>
      <w:pPr>
        <w:pStyle w:val="BodyText"/>
      </w:pPr>
      <w:r>
        <w:t xml:space="preserve">Kansai Precision Carpentry Co., Ltd. — 2-14-8 Dotonbori, Chuo-ku, Osaka 542-0071, Japan</w:t>
      </w:r>
    </w:p>
    <w:p>
      <w:pPr>
        <w:pStyle w:val="BodyText"/>
      </w:pPr>
      <w:r>
        <w:t xml:space="preserve">Quotation Estimate No. QE-OSK-2025-0472  |  This document is generated electronically and is valid without a physical seal.</w:t>
      </w:r>
    </w:p>
    <w:p>
      <w:pPr>
        <w:pStyle w:val="BodyText"/>
      </w:pPr>
      <w:r>
        <w:t xml:space="preserve">© 2025 Kansai Precision Carpentry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Japan Osaka</dc:title>
  <dc:creator/>
  <dc:language>en</dc:language>
  <cp:keywords/>
  <dcterms:created xsi:type="dcterms:W3CDTF">2026-10-10T04:01:46Z</dcterms:created>
  <dcterms:modified xsi:type="dcterms:W3CDTF">2026-10-10T04:01:46Z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