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Carpenter Services &amp; Woodwork Solutions</w:t>
      </w:r>
    </w:p>
    <w:p>
      <w:pPr>
        <w:pStyle w:val="BodyText"/>
      </w:pPr>
      <w:r>
        <w:t xml:space="preserve">Kuwait Kuwait City</w:t>
      </w:r>
    </w:p>
    <w:p>
      <w:pPr>
        <w:pStyle w:val="BodyText"/>
      </w:pPr>
      <w:r>
        <w:t xml:space="preserve">Quotation Reference No: QE-KWT-2025-04782</w:t>
      </w:r>
    </w:p>
    <w:bookmarkEnd w:id="20"/>
    <w:bookmarkStart w:id="21" w:name="service-provider"/>
    <w:p>
      <w:pPr>
        <w:pStyle w:val="Heading3"/>
      </w:pPr>
      <w:r>
        <w:t xml:space="preserve">Service Provider</w:t>
      </w:r>
    </w:p>
    <w:p>
      <w:pPr>
        <w:pStyle w:val="FirstParagraph"/>
      </w:pPr>
      <w:r>
        <w:rPr>
          <w:bCs/>
          <w:b/>
        </w:rPr>
        <w:t xml:space="preserve">Al-Nakheel Carpentry &amp; Woodworks LLC</w:t>
      </w:r>
    </w:p>
    <w:p>
      <w:pPr>
        <w:pStyle w:val="BodyText"/>
      </w:pPr>
      <w:r>
        <w:t xml:space="preserve">Plot 14, Block 7, Salmiya Industrial Area</w:t>
      </w:r>
    </w:p>
    <w:p>
      <w:pPr>
        <w:pStyle w:val="BodyText"/>
      </w:pPr>
      <w:r>
        <w:t xml:space="preserve">Kuwait Kuwait City, P.O. Box 4521, Safat 13001</w:t>
      </w:r>
    </w:p>
    <w:p>
      <w:pPr>
        <w:pStyle w:val="BodyText"/>
      </w:pPr>
      <w:r>
        <w:t xml:space="preserve">Tel: +965 2244 7890</w:t>
      </w:r>
    </w:p>
    <w:p>
      <w:pPr>
        <w:pStyle w:val="BodyText"/>
      </w:pPr>
      <w:r>
        <w:t xml:space="preserve">Email: quotes@alnakheel-carpentry.kw</w:t>
      </w:r>
    </w:p>
    <w:p>
      <w:pPr>
        <w:pStyle w:val="BodyText"/>
      </w:pPr>
      <w:r>
        <w:t xml:space="preserve">Commercial Registration: 184729-K</w:t>
      </w:r>
    </w:p>
    <w:bookmarkEnd w:id="21"/>
    <w:bookmarkStart w:id="22" w:name="client-details"/>
    <w:p>
      <w:pPr>
        <w:pStyle w:val="Heading3"/>
      </w:pPr>
      <w:r>
        <w:t xml:space="preserve">Client Details</w:t>
      </w:r>
    </w:p>
    <w:p>
      <w:pPr>
        <w:pStyle w:val="FirstParagraph"/>
      </w:pPr>
      <w:r>
        <w:rPr>
          <w:bCs/>
          <w:b/>
        </w:rPr>
        <w:t xml:space="preserve">Mr. Ahmed Al-Rashidi</w:t>
      </w:r>
    </w:p>
    <w:p>
      <w:pPr>
        <w:pStyle w:val="BodyText"/>
      </w:pPr>
      <w:r>
        <w:t xml:space="preserve">Residence: Villa 23, Block 4, Salmiya</w:t>
      </w:r>
    </w:p>
    <w:p>
      <w:pPr>
        <w:pStyle w:val="BodyText"/>
      </w:pPr>
      <w:r>
        <w:t xml:space="preserve">Kuwait Kuwait City, P.O. Box 8834, Salmiya 13001</w:t>
      </w:r>
    </w:p>
    <w:p>
      <w:pPr>
        <w:pStyle w:val="BodyText"/>
      </w:pPr>
      <w:r>
        <w:t xml:space="preserve">Tel: +965 9912 3456</w:t>
      </w:r>
    </w:p>
    <w:p>
      <w:pPr>
        <w:pStyle w:val="BodyText"/>
      </w:pPr>
      <w:r>
        <w:t xml:space="preserve">Email: a.rashidi@email.com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Kuwait Kuwait City</w:t>
      </w:r>
    </w:p>
    <w:p>
      <w:pPr>
        <w:pStyle w:val="BodyText"/>
      </w:pPr>
      <w:r>
        <w:rPr>
          <w:bCs/>
          <w:b/>
        </w:rPr>
        <w:t xml:space="preserve">Estimated Start Date:</w:t>
      </w:r>
      <w:r>
        <w:t xml:space="preserve"> </w:t>
      </w:r>
      <w:r>
        <w:t xml:space="preserve">1 July 2025</w:t>
      </w:r>
    </w:p>
    <w:p>
      <w:pPr>
        <w:pStyle w:val="BodyText"/>
      </w:pPr>
      <w:r>
        <w:rPr>
          <w:bCs/>
          <w:b/>
        </w:rPr>
        <w:t xml:space="preserve">Estimated Completion:</w:t>
      </w:r>
      <w:r>
        <w:t xml:space="preserve"> </w:t>
      </w:r>
      <w:r>
        <w:t xml:space="preserve">22 July 2025</w:t>
      </w:r>
    </w:p>
    <w:bookmarkEnd w:id="23"/>
    <w:bookmarkStart w:id="24" w:name="project-summary"/>
    <w:p>
      <w:pPr>
        <w:pStyle w:val="Heading3"/>
      </w:pPr>
      <w:r>
        <w:t xml:space="preserve">Project Summary</w:t>
      </w:r>
    </w:p>
    <w:p>
      <w:pPr>
        <w:pStyle w:val="FirstParagraph"/>
      </w:pPr>
      <w:r>
        <w:t xml:space="preserve">This</w:t>
      </w:r>
      <w:r>
        <w:t xml:space="preserve"> </w:t>
      </w:r>
      <w:r>
        <w:t xml:space="preserve">Quotation Estimate</w:t>
      </w:r>
      <w:r>
        <w:t xml:space="preserve"> </w:t>
      </w:r>
      <w:r>
        <w:t xml:space="preserve">is prepared for comprehensive</w:t>
      </w:r>
      <w:r>
        <w:t xml:space="preserve"> </w:t>
      </w:r>
      <w:r>
        <w:t xml:space="preserve">Carpenter</w:t>
      </w:r>
      <w:r>
        <w:t xml:space="preserve"> </w:t>
      </w:r>
      <w:r>
        <w:t xml:space="preserve">services including custom furniture fabrication, interior wood paneling, and structural woodwork for a residential villa located in</w:t>
      </w:r>
      <w:r>
        <w:t xml:space="preserve"> </w:t>
      </w:r>
      <w:r>
        <w:t xml:space="preserve">Kuwait Kuwait City</w:t>
      </w:r>
      <w:r>
        <w:t xml:space="preserve">. All materials and labor are subject to the terms outlined below.</w:t>
      </w:r>
    </w:p>
    <w:bookmarkEnd w:id="24"/>
    <w:bookmarkStart w:id="25" w:name="X5f360742ead7f4a7a5c6647e7013ad57128c9a7"/>
    <w:p>
      <w:pPr>
        <w:pStyle w:val="Heading2"/>
      </w:pPr>
      <w:r>
        <w:t xml:space="preserve">Itemized Quotation Estimate – Carpenter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Material / Specification</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Custom-built master bedroom wardrobe with sliding doors, internal shelving, and LED strip lighting</w:t>
            </w:r>
          </w:p>
        </w:tc>
        <w:tc>
          <w:tcPr/>
          <w:p>
            <w:pPr>
              <w:pStyle w:val="Compact"/>
              <w:jc w:val="left"/>
            </w:pPr>
            <w:r>
              <w:t xml:space="preserve">Engineered Oak Veneer, 18mm MDF core</w:t>
            </w:r>
          </w:p>
        </w:tc>
        <w:tc>
          <w:tcPr/>
          <w:p>
            <w:pPr>
              <w:pStyle w:val="Compact"/>
              <w:jc w:val="left"/>
            </w:pPr>
            <w:r>
              <w:t xml:space="preserve">1 Set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Living room TV unit with integrated cable management and floating shelf design</w:t>
            </w:r>
          </w:p>
        </w:tc>
        <w:tc>
          <w:tcPr/>
          <w:p>
            <w:pPr>
              <w:pStyle w:val="Compact"/>
              <w:jc w:val="left"/>
            </w:pPr>
            <w:r>
              <w:t xml:space="preserve">Walnut Veneer, 18mm MDF, matte lacquer finish</w:t>
            </w:r>
          </w:p>
        </w:tc>
        <w:tc>
          <w:tcPr/>
          <w:p>
            <w:pPr>
              <w:pStyle w:val="Compact"/>
              <w:jc w:val="left"/>
            </w:pPr>
            <w:r>
              <w:t xml:space="preserve">1 Unit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Full-height wood paneling for hallway and entrance foyer (approx. 42 sq. meters)</w:t>
            </w:r>
          </w:p>
        </w:tc>
        <w:tc>
          <w:tcPr/>
          <w:p>
            <w:pPr>
              <w:pStyle w:val="Compact"/>
              <w:jc w:val="left"/>
            </w:pPr>
            <w:r>
              <w:t xml:space="preserve">Natural Teak, 12mm tongue-and-groove</w:t>
            </w:r>
          </w:p>
        </w:tc>
        <w:tc>
          <w:tcPr/>
          <w:p>
            <w:pPr>
              <w:pStyle w:val="Compact"/>
              <w:jc w:val="left"/>
            </w:pPr>
            <w:r>
              <w:t xml:space="preserve">42 sqm</w:t>
            </w:r>
          </w:p>
        </w:tc>
        <w:tc>
          <w:tcPr/>
          <w:p>
            <w:pPr>
              <w:pStyle w:val="Compact"/>
              <w:jc w:val="left"/>
            </w:pPr>
            <w:r>
              <w:t xml:space="preserve">38.500</w:t>
            </w:r>
          </w:p>
        </w:tc>
        <w:tc>
          <w:tcPr/>
          <w:p>
            <w:pPr>
              <w:pStyle w:val="Compact"/>
              <w:jc w:val="left"/>
            </w:pPr>
            <w:r>
              <w:t xml:space="preserve">1,617.000</w:t>
            </w:r>
          </w:p>
        </w:tc>
      </w:tr>
      <w:tr>
        <w:tc>
          <w:tcPr/>
          <w:p>
            <w:pPr>
              <w:pStyle w:val="Compact"/>
              <w:jc w:val="left"/>
            </w:pPr>
            <w:r>
              <w:t xml:space="preserve">4</w:t>
            </w:r>
          </w:p>
        </w:tc>
        <w:tc>
          <w:tcPr/>
          <w:p>
            <w:pPr>
              <w:pStyle w:val="Compact"/>
              <w:jc w:val="left"/>
            </w:pPr>
            <w:r>
              <w:t xml:space="preserve">Custom dining table (seats 8) with matching bench seating</w:t>
            </w:r>
          </w:p>
        </w:tc>
        <w:tc>
          <w:tcPr/>
          <w:p>
            <w:pPr>
              <w:pStyle w:val="Compact"/>
              <w:jc w:val="left"/>
            </w:pPr>
            <w:r>
              <w:t xml:space="preserve">Solid Mango Wood, hand-finished</w:t>
            </w:r>
          </w:p>
        </w:tc>
        <w:tc>
          <w:tcPr/>
          <w:p>
            <w:pPr>
              <w:pStyle w:val="Compact"/>
              <w:jc w:val="left"/>
            </w:pPr>
            <w:r>
              <w:t xml:space="preserve">1 Set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5</w:t>
            </w:r>
          </w:p>
        </w:tc>
        <w:tc>
          <w:tcPr/>
          <w:p>
            <w:pPr>
              <w:pStyle w:val="Compact"/>
              <w:jc w:val="left"/>
            </w:pPr>
            <w:r>
              <w:t xml:space="preserve">Replacement of 6 interior doors with solid core wooden doors including frames and hardware</w:t>
            </w:r>
          </w:p>
        </w:tc>
        <w:tc>
          <w:tcPr/>
          <w:p>
            <w:pPr>
              <w:pStyle w:val="Compact"/>
              <w:jc w:val="left"/>
            </w:pPr>
            <w:r>
              <w:t xml:space="preserve">Engineered Ash, pre-hung, with stainless steel handles</w:t>
            </w:r>
          </w:p>
        </w:tc>
        <w:tc>
          <w:tcPr/>
          <w:p>
            <w:pPr>
              <w:pStyle w:val="Compact"/>
              <w:jc w:val="left"/>
            </w:pPr>
            <w:r>
              <w:t xml:space="preserve">6 Doors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6</w:t>
            </w:r>
          </w:p>
        </w:tc>
        <w:tc>
          <w:tcPr/>
          <w:p>
            <w:pPr>
              <w:pStyle w:val="Compact"/>
              <w:jc w:val="left"/>
            </w:pPr>
            <w:r>
              <w:t xml:space="preserve">Built-in kitchen cabinetry (lower and upper units) with granite countertop installation support</w:t>
            </w:r>
          </w:p>
        </w:tc>
        <w:tc>
          <w:tcPr/>
          <w:p>
            <w:pPr>
              <w:pStyle w:val="Compact"/>
              <w:jc w:val="left"/>
            </w:pPr>
            <w:r>
              <w:t xml:space="preserve">High-pressure laminate, soft-close hinges, 18mm</w:t>
            </w:r>
          </w:p>
        </w:tc>
        <w:tc>
          <w:tcPr/>
          <w:p>
            <w:pPr>
              <w:pStyle w:val="Compact"/>
              <w:jc w:val="left"/>
            </w:pPr>
            <w:r>
              <w:t xml:space="preserve">1 Set</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7</w:t>
            </w:r>
          </w:p>
        </w:tc>
        <w:tc>
          <w:tcPr/>
          <w:p>
            <w:pPr>
              <w:pStyle w:val="Compact"/>
              <w:jc w:val="left"/>
            </w:pPr>
            <w:r>
              <w:t xml:space="preserve">Custom bookshelf unit for home office (5-tier, 2.4m wide) with glass-front upper cabinets</w:t>
            </w:r>
          </w:p>
        </w:tc>
        <w:tc>
          <w:tcPr/>
          <w:p>
            <w:pPr>
              <w:pStyle w:val="Compact"/>
              <w:jc w:val="left"/>
            </w:pPr>
            <w:r>
              <w:t xml:space="preserve">Engineered Maple Veneer, tempered glass</w:t>
            </w:r>
          </w:p>
        </w:tc>
        <w:tc>
          <w:tcPr/>
          <w:p>
            <w:pPr>
              <w:pStyle w:val="Compact"/>
              <w:jc w:val="left"/>
            </w:pPr>
            <w:r>
              <w:t xml:space="preserve">1 Unit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8</w:t>
            </w:r>
          </w:p>
        </w:tc>
        <w:tc>
          <w:tcPr/>
          <w:p>
            <w:pPr>
              <w:pStyle w:val="Compact"/>
              <w:jc w:val="left"/>
            </w:pPr>
            <w:r>
              <w:t xml:space="preserve">Structural woodwork: ceiling coving, crown molding, and decorative trim throughout ground floor</w:t>
            </w:r>
          </w:p>
        </w:tc>
        <w:tc>
          <w:tcPr/>
          <w:p>
            <w:pPr>
              <w:pStyle w:val="Compact"/>
              <w:jc w:val="left"/>
            </w:pPr>
            <w:r>
              <w:t xml:space="preserve">Primed MDF, paint-ready, 100mm profile</w:t>
            </w:r>
          </w:p>
        </w:tc>
        <w:tc>
          <w:tcPr/>
          <w:p>
            <w:pPr>
              <w:pStyle w:val="Compact"/>
              <w:jc w:val="left"/>
            </w:pPr>
            <w:r>
              <w:t xml:space="preserve">1 Lot</w:t>
            </w:r>
          </w:p>
        </w:tc>
        <w:tc>
          <w:tcPr/>
          <w:p>
            <w:pPr>
              <w:pStyle w:val="Compact"/>
              <w:jc w:val="left"/>
            </w:pPr>
            <w:r>
              <w:t xml:space="preserve">1,180.000</w:t>
            </w:r>
          </w:p>
        </w:tc>
        <w:tc>
          <w:tcPr/>
          <w:p>
            <w:pPr>
              <w:pStyle w:val="Compact"/>
              <w:jc w:val="left"/>
            </w:pPr>
            <w:r>
              <w:t xml:space="preserve">1,180.000</w:t>
            </w:r>
          </w:p>
        </w:tc>
      </w:tr>
      <w:tr>
        <w:tc>
          <w:tcPr/>
          <w:p>
            <w:pPr>
              <w:pStyle w:val="Compact"/>
              <w:jc w:val="left"/>
            </w:pPr>
            <w:r>
              <w:t xml:space="preserve">9</w:t>
            </w:r>
          </w:p>
        </w:tc>
        <w:tc>
          <w:tcPr/>
          <w:p>
            <w:pPr>
              <w:pStyle w:val="Compact"/>
              <w:jc w:val="left"/>
            </w:pPr>
            <w:r>
              <w:t xml:space="preserve">Site preparation, material delivery to Kuwait Kuwait City location, and final cleanup</w:t>
            </w:r>
          </w:p>
        </w:tc>
        <w:tc>
          <w:tcPr/>
          <w:p>
            <w:pPr>
              <w:pStyle w:val="Compact"/>
              <w:jc w:val="left"/>
            </w:pPr>
            <w:r>
              <w:t xml:space="preserve">—</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Warranty registration, after-sales support, and one complimentary maintenance visit (within 12 months)</w:t>
            </w:r>
          </w:p>
        </w:tc>
        <w:tc>
          <w:tcPr/>
          <w:p>
            <w:pPr>
              <w:pStyle w:val="Compact"/>
              <w:jc w:val="left"/>
            </w:pPr>
            <w:r>
              <w:t xml:space="preserve">—</w:t>
            </w:r>
          </w:p>
        </w:tc>
        <w:tc>
          <w:tcPr/>
          <w:p>
            <w:pPr>
              <w:pStyle w:val="Compact"/>
              <w:jc w:val="left"/>
            </w:pPr>
            <w:r>
              <w:t xml:space="preserve">1 Lot</w:t>
            </w:r>
          </w:p>
        </w:tc>
        <w:tc>
          <w:tcPr/>
          <w:p>
            <w:pPr>
              <w:pStyle w:val="Compact"/>
              <w:jc w:val="left"/>
            </w:pPr>
            <w:r>
              <w:t xml:space="preserve">0.000</w:t>
            </w:r>
          </w:p>
        </w:tc>
        <w:tc>
          <w:tcPr/>
          <w:p>
            <w:pPr>
              <w:pStyle w:val="Compact"/>
              <w:jc w:val="left"/>
            </w:pPr>
            <w:r>
              <w:t xml:space="preserve">0.000</w:t>
            </w:r>
          </w:p>
        </w:tc>
      </w:tr>
      <w:tr>
        <w:tc>
          <w:tcPr>
            <w:gridSpan w:val="5"/>
          </w:tcPr>
          <w:p>
            <w:pPr>
              <w:pStyle w:val="Compact"/>
              <w:jc w:val="right"/>
            </w:pPr>
            <w:r>
              <w:t xml:space="preserve">Subtotal</w:t>
            </w:r>
          </w:p>
        </w:tc>
        <w:tc>
          <w:tcPr/>
          <w:p>
            <w:pPr>
              <w:pStyle w:val="Compact"/>
              <w:jc w:val="left"/>
            </w:pPr>
            <w:r>
              <w:t xml:space="preserve">11,092.000</w:t>
            </w:r>
          </w:p>
        </w:tc>
      </w:tr>
      <w:tr>
        <w:tc>
          <w:tcPr>
            <w:gridSpan w:val="5"/>
          </w:tcPr>
          <w:p>
            <w:pPr>
              <w:pStyle w:val="Compact"/>
              <w:jc w:val="right"/>
            </w:pPr>
            <w:r>
              <w:t xml:space="preserve">VAT (5%)</w:t>
            </w:r>
          </w:p>
        </w:tc>
        <w:tc>
          <w:tcPr/>
          <w:p>
            <w:pPr>
              <w:pStyle w:val="Compact"/>
              <w:jc w:val="left"/>
            </w:pPr>
            <w:r>
              <w:t xml:space="preserve">554.600</w:t>
            </w:r>
          </w:p>
        </w:tc>
      </w:tr>
      <w:tr>
        <w:tc>
          <w:tcPr>
            <w:gridSpan w:val="5"/>
          </w:tcPr>
          <w:p>
            <w:pPr>
              <w:pStyle w:val="Compact"/>
              <w:jc w:val="right"/>
            </w:pPr>
            <w:r>
              <w:t xml:space="preserve">TOTAL AMOUNT (KWD)</w:t>
            </w:r>
          </w:p>
        </w:tc>
        <w:tc>
          <w:tcPr/>
          <w:p>
            <w:pPr>
              <w:pStyle w:val="Compact"/>
              <w:jc w:val="left"/>
            </w:pPr>
            <w:r>
              <w:t xml:space="preserve">11,646.600</w:t>
            </w:r>
          </w:p>
        </w:tc>
      </w:tr>
    </w:tbl>
    <w:bookmarkEnd w:id="25"/>
    <w:bookmarkStart w:id="26" w:name="scope-of-work-carpenter-specifications"/>
    <w:p>
      <w:pPr>
        <w:pStyle w:val="Heading2"/>
      </w:pPr>
      <w:r>
        <w:t xml:space="preserve">Scope of Work &amp; Carpenter Specifications</w:t>
      </w:r>
    </w:p>
    <w:p>
      <w:pPr>
        <w:pStyle w:val="FirstParagraph"/>
      </w:pPr>
      <w:r>
        <w:t xml:space="preserve">This</w:t>
      </w:r>
      <w:r>
        <w:t xml:space="preserve"> </w:t>
      </w:r>
      <w:r>
        <w:t xml:space="preserve">Quotation Estimate</w:t>
      </w:r>
      <w:r>
        <w:t xml:space="preserve"> </w:t>
      </w:r>
      <w:r>
        <w:t xml:space="preserve">covers the complete scope of</w:t>
      </w:r>
      <w:r>
        <w:t xml:space="preserve"> </w:t>
      </w:r>
      <w:r>
        <w:t xml:space="preserve">Carpenter</w:t>
      </w:r>
      <w:r>
        <w:t xml:space="preserve"> </w:t>
      </w:r>
      <w:r>
        <w:t xml:space="preserve">services to be executed at the client's residential property in</w:t>
      </w:r>
      <w:r>
        <w:t xml:space="preserve"> </w:t>
      </w:r>
      <w:r>
        <w:t xml:space="preserve">Kuwait Kuwait City</w:t>
      </w:r>
      <w:r>
        <w:t xml:space="preserve">. Our team of licensed and experienced carpenters will handle all aspects of the project, from initial site measurement and design consultation through to final installation, finishing, and quality inspection. All woodwork will be fabricated in our Salmiya workshop to ensure precision and quality control before on-site assembly. The Carpenter team will coordinate with the client's interior designer and general contractor to ensure seamless integration with ongoing renovation works. All materials specified in this Quotation Estimate are sourced from approved suppliers within Kuwait and meet the relevant Kuwait Building Code standards for residential construction.</w:t>
      </w:r>
    </w:p>
    <w:bookmarkEnd w:id="26"/>
    <w:bookmarkStart w:id="27" w:name="payment-terms"/>
    <w:p>
      <w:pPr>
        <w:pStyle w:val="Heading2"/>
      </w:pPr>
      <w:r>
        <w:t xml:space="preserve">Payment Terms</w:t>
      </w:r>
    </w:p>
    <w:p>
      <w:pPr>
        <w:numPr>
          <w:ilvl w:val="0"/>
          <w:numId w:val="1001"/>
        </w:numPr>
        <w:pStyle w:val="Compact"/>
      </w:pPr>
      <w:r>
        <w:rPr>
          <w:bCs/>
          <w:b/>
        </w:rPr>
        <w:t xml:space="preserve">Advance Payment (40%):</w:t>
      </w:r>
      <w:r>
        <w:t xml:space="preserve"> </w:t>
      </w:r>
      <w:r>
        <w:t xml:space="preserve">KWD 4,658.640 – Due upon acceptance of this Quotation Estimate and signing of the service agreement.</w:t>
      </w:r>
    </w:p>
    <w:p>
      <w:pPr>
        <w:numPr>
          <w:ilvl w:val="0"/>
          <w:numId w:val="1001"/>
        </w:numPr>
        <w:pStyle w:val="Compact"/>
      </w:pPr>
      <w:r>
        <w:rPr>
          <w:bCs/>
          <w:b/>
        </w:rPr>
        <w:t xml:space="preserve">Progress Payment (40%):</w:t>
      </w:r>
      <w:r>
        <w:t xml:space="preserve"> </w:t>
      </w:r>
      <w:r>
        <w:t xml:space="preserve">KWD 4,658.640 – Due upon completion of 50% of the carpentry work and client sign-off on interim inspection.</w:t>
      </w:r>
    </w:p>
    <w:p>
      <w:pPr>
        <w:numPr>
          <w:ilvl w:val="0"/>
          <w:numId w:val="1001"/>
        </w:numPr>
        <w:pStyle w:val="Compact"/>
      </w:pPr>
      <w:r>
        <w:rPr>
          <w:bCs/>
          <w:b/>
        </w:rPr>
        <w:t xml:space="preserve">Final Payment (20%):</w:t>
      </w:r>
      <w:r>
        <w:t xml:space="preserve"> </w:t>
      </w:r>
      <w:r>
        <w:t xml:space="preserve">KWD 2,329.280 – Due upon full completion, final inspection, and handover of all work in Kuwait Kuwait City.</w:t>
      </w:r>
    </w:p>
    <w:p>
      <w:pPr>
        <w:numPr>
          <w:ilvl w:val="0"/>
          <w:numId w:val="1001"/>
        </w:numPr>
        <w:pStyle w:val="Compact"/>
      </w:pPr>
      <w:r>
        <w:t xml:space="preserve">Payment shall be made via bank transfer to Al-Nakheel Carpentry &amp; Woodworks LLC, National Bank of Kuwait, Account No. 0045-8821-3376.</w:t>
      </w:r>
    </w:p>
    <w:bookmarkEnd w:id="27"/>
    <w:bookmarkStart w:id="28" w:name="terms-and-conditions"/>
    <w:p>
      <w:pPr>
        <w:pStyle w:val="Heading2"/>
      </w:pPr>
      <w:r>
        <w:t xml:space="preserve">Terms and Conditions</w:t>
      </w:r>
    </w:p>
    <w:p>
      <w:pPr>
        <w:numPr>
          <w:ilvl w:val="0"/>
          <w:numId w:val="1002"/>
        </w:numPr>
        <w:pStyle w:val="Compact"/>
      </w:pPr>
      <w:r>
        <w:t xml:space="preserve">This Quotation Estimate is valid for a period of thirty (30) calendar days from the date of issue. Prices are subject to revision after the expiry date due to potential fluctuations in material costs within the Kuwait market.</w:t>
      </w:r>
    </w:p>
    <w:p>
      <w:pPr>
        <w:numPr>
          <w:ilvl w:val="0"/>
          <w:numId w:val="1002"/>
        </w:numPr>
        <w:pStyle w:val="Compact"/>
      </w:pPr>
      <w:r>
        <w:t xml:space="preserve">All Carpenter workmanship is guaranteed for a period of twenty-four (24) months from the date of final handover. The warranty covers defects in materials and workmanship but does not cover damage caused by misuse, water damage, or unauthorized modifications.</w:t>
      </w:r>
    </w:p>
    <w:p>
      <w:pPr>
        <w:numPr>
          <w:ilvl w:val="0"/>
          <w:numId w:val="1002"/>
        </w:numPr>
        <w:pStyle w:val="Compact"/>
      </w:pPr>
      <w:r>
        <w:t xml:space="preserve">The project timeline of approximately twenty-one (21) working days is an estimate. Delays caused by force majeure, client-requested design changes, or delays in material supply beyond our control will extend the completion date proportionally.</w:t>
      </w:r>
    </w:p>
    <w:p>
      <w:pPr>
        <w:numPr>
          <w:ilvl w:val="0"/>
          <w:numId w:val="1002"/>
        </w:numPr>
        <w:pStyle w:val="Compact"/>
      </w:pPr>
      <w:r>
        <w:t xml:space="preserve">The client agrees to provide safe access to the work area in Kuwait Kuwait City and to ensure that all necessary permits and approvals from the Kuwait Municipality are in place prior to commencement of work.</w:t>
      </w:r>
    </w:p>
    <w:p>
      <w:pPr>
        <w:numPr>
          <w:ilvl w:val="0"/>
          <w:numId w:val="1002"/>
        </w:numPr>
        <w:pStyle w:val="Compact"/>
      </w:pPr>
      <w:r>
        <w:t xml:space="preserve">Any additional work or design modifications requested by the client beyond the scope defined in this Quotation Estimate will be subject to a separate written amendment and additional charges at our standard Carpenter labor rate of KWD 45.000 per hour.</w:t>
      </w:r>
    </w:p>
    <w:p>
      <w:pPr>
        <w:numPr>
          <w:ilvl w:val="0"/>
          <w:numId w:val="1002"/>
        </w:numPr>
        <w:pStyle w:val="Compact"/>
      </w:pPr>
      <w:r>
        <w:t xml:space="preserve">All disputes arising from this Quotation Estimate shall be resolved through amicable negotiation. In the event of unresolved disputes, the matter shall be referred to the competent courts in Kuwait City, and the laws of the State of Kuwait shall govern this agreement.</w:t>
      </w:r>
    </w:p>
    <w:p>
      <w:pPr>
        <w:numPr>
          <w:ilvl w:val="0"/>
          <w:numId w:val="1002"/>
        </w:numPr>
        <w:pStyle w:val="Compact"/>
      </w:pPr>
      <w:r>
        <w:t xml:space="preserve">Al-Nakheel Carpentry &amp; Woodworks LLC reserves the right to substitute materials of equivalent or superior quality if the specified material is unavailable, provided prior written consent is obtained from the client.</w:t>
      </w:r>
    </w:p>
    <w:bookmarkEnd w:id="28"/>
    <w:bookmarkStart w:id="29" w:name="acceptance-authorization"/>
    <w:p>
      <w:pPr>
        <w:pStyle w:val="Heading2"/>
      </w:pPr>
      <w:r>
        <w:t xml:space="preserve">Acceptance &amp; Authorization</w:t>
      </w:r>
    </w:p>
    <w:p>
      <w:pPr>
        <w:pStyle w:val="FirstParagraph"/>
      </w:pPr>
      <w:r>
        <w:t xml:space="preserve">By signing below, the client acknowledges receipt of this Quotation Estimate for Carpenter services in Kuwait Kuwait City and agrees to the terms, conditions, pricing, and scope of work as outlined in this document. This signature constitutes formal acceptance and authorizes Al-Nakheel Carpentry &amp; Woodworks LLC to proceed with the project.</w:t>
      </w:r>
    </w:p>
    <w:p>
      <w:pPr>
        <w:pStyle w:val="BodyText"/>
      </w:pPr>
      <w:r>
        <w:rPr>
          <w:bCs/>
          <w:b/>
        </w:rPr>
        <w:t xml:space="preserve">Client Signature</w:t>
      </w:r>
      <w:r>
        <w:br/>
      </w:r>
      <w:r>
        <w:t xml:space="preserve">Mr. Ahmed Al-Rashidi</w:t>
      </w:r>
      <w:r>
        <w:br/>
      </w:r>
      <w:r>
        <w:t xml:space="preserve">Date: _______________</w:t>
      </w:r>
    </w:p>
    <w:p>
      <w:pPr>
        <w:pStyle w:val="BodyText"/>
      </w:pPr>
      <w:r>
        <w:rPr>
          <w:bCs/>
          <w:b/>
        </w:rPr>
        <w:t xml:space="preserve">Authorized Representative</w:t>
      </w:r>
      <w:r>
        <w:br/>
      </w:r>
      <w:r>
        <w:t xml:space="preserve">Al-Nakheel Carpentry &amp; Woodworks LLC</w:t>
      </w:r>
      <w:r>
        <w:br/>
      </w:r>
      <w:r>
        <w:t xml:space="preserve">Date: _______________</w:t>
      </w:r>
    </w:p>
    <w:p>
      <w:pPr>
        <w:pStyle w:val="BodyText"/>
      </w:pPr>
      <w:r>
        <w:t xml:space="preserve">Al-Nakheel Carpentry &amp; Woodworks LLC | Kuwait Kuwait City | CR: 184729-K | VAT Reg: 108452937</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Generated: 15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Kuwait Kuwait City</dc:title>
  <dc:creator/>
  <dc:language>en</dc:language>
  <cp:keywords/>
  <dcterms:created xsi:type="dcterms:W3CDTF">2026-10-10T08:29:57Z</dcterms:created>
  <dcterms:modified xsi:type="dcterms:W3CDTF">2026-10-10T08:29:57Z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