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Carpenter Services | Malaysia Kuala Lumpur</w:t>
      </w:r>
    </w:p>
    <w:bookmarkEnd w:id="20"/>
    <w:bookmarkStart w:id="21" w:name="service-provider"/>
    <w:p>
      <w:pPr>
        <w:pStyle w:val="Heading3"/>
      </w:pPr>
      <w:r>
        <w:t xml:space="preserve">Service Provider</w:t>
      </w:r>
    </w:p>
    <w:p>
      <w:pPr>
        <w:pStyle w:val="FirstParagraph"/>
      </w:pPr>
      <w:r>
        <w:rPr>
          <w:bCs/>
          <w:b/>
        </w:rPr>
        <w:t xml:space="preserve">KL Master Carpenter Sdn. Bhd.</w:t>
      </w:r>
    </w:p>
    <w:p>
      <w:pPr>
        <w:pStyle w:val="BodyText"/>
      </w:pPr>
      <w:r>
        <w:t xml:space="preserve">No. 45, Jalan Ampang, Off Jalan Raja Chulan</w:t>
      </w:r>
    </w:p>
    <w:p>
      <w:pPr>
        <w:pStyle w:val="BodyText"/>
      </w:pPr>
      <w:r>
        <w:t xml:space="preserve">50350 Kuala Lumpur, Malaysia</w:t>
      </w:r>
    </w:p>
    <w:p>
      <w:pPr>
        <w:pStyle w:val="BodyText"/>
      </w:pPr>
      <w:r>
        <w:t xml:space="preserve">Tel: +60 3-2145 6789</w:t>
      </w:r>
    </w:p>
    <w:p>
      <w:pPr>
        <w:pStyle w:val="BodyText"/>
      </w:pPr>
      <w:r>
        <w:t xml:space="preserve">Email: info@klmastercarpenter.com.my</w:t>
      </w:r>
    </w:p>
    <w:p>
      <w:pPr>
        <w:pStyle w:val="BodyText"/>
      </w:pPr>
      <w:r>
        <w:t xml:space="preserve">SSM Reg: 201901045678 (1234567-A)</w:t>
      </w:r>
    </w:p>
    <w:bookmarkEnd w:id="21"/>
    <w:bookmarkStart w:id="22" w:name="client-details"/>
    <w:p>
      <w:pPr>
        <w:pStyle w:val="Heading3"/>
      </w:pPr>
      <w:r>
        <w:t xml:space="preserve">Client Details</w:t>
      </w:r>
    </w:p>
    <w:p>
      <w:pPr>
        <w:pStyle w:val="FirstParagraph"/>
      </w:pPr>
      <w:r>
        <w:rPr>
          <w:bCs/>
          <w:b/>
        </w:rPr>
        <w:t xml:space="preserve">Mr. Tan Wei Ming</w:t>
      </w:r>
    </w:p>
    <w:p>
      <w:pPr>
        <w:pStyle w:val="BodyText"/>
      </w:pPr>
      <w:r>
        <w:t xml:space="preserve">Unit 12-08, The Troika Residence</w:t>
      </w:r>
    </w:p>
    <w:p>
      <w:pPr>
        <w:pStyle w:val="BodyText"/>
      </w:pPr>
      <w:r>
        <w:t xml:space="preserve">165, Jalan Ampang, 50450</w:t>
      </w:r>
    </w:p>
    <w:p>
      <w:pPr>
        <w:pStyle w:val="BodyText"/>
      </w:pPr>
      <w:r>
        <w:t xml:space="preserve">Kuala Lumpur, Malaysia</w:t>
      </w:r>
    </w:p>
    <w:p>
      <w:pPr>
        <w:pStyle w:val="BodyText"/>
      </w:pPr>
      <w:r>
        <w:t xml:space="preserve">Tel: +60 12-345 6789</w:t>
      </w:r>
    </w:p>
    <w:p>
      <w:pPr>
        <w:pStyle w:val="BodyText"/>
      </w:pPr>
      <w:r>
        <w:t xml:space="preserve">Email: tanweiming@email.com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QTE-KL-2025-00847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Project Location:</w:t>
            </w:r>
          </w:p>
        </w:tc>
        <w:tc>
          <w:tcPr/>
          <w:p>
            <w:pPr>
              <w:pStyle w:val="Compact"/>
              <w:jc w:val="left"/>
            </w:pPr>
            <w:r>
              <w:t xml:space="preserve">The Troika Residence, Jalan Ampang, Kuala Lumpur, Malaysia</w:t>
            </w:r>
          </w:p>
        </w:tc>
      </w:tr>
      <w:tr>
        <w:tc>
          <w:tcPr/>
          <w:p>
            <w:pPr>
              <w:pStyle w:val="Compact"/>
              <w:jc w:val="left"/>
            </w:pPr>
            <w:r>
              <w:t xml:space="preserve">Estimated Start Date:</w:t>
            </w:r>
          </w:p>
        </w:tc>
        <w:tc>
          <w:tcPr/>
          <w:p>
            <w:pPr>
              <w:pStyle w:val="Compact"/>
              <w:jc w:val="left"/>
            </w:pPr>
            <w:r>
              <w:t xml:space="preserve">1 July 2025</w:t>
            </w:r>
          </w:p>
        </w:tc>
      </w:tr>
      <w:tr>
        <w:tc>
          <w:tcPr/>
          <w:p>
            <w:pPr>
              <w:pStyle w:val="Compact"/>
              <w:jc w:val="left"/>
            </w:pPr>
            <w:r>
              <w:t xml:space="preserve">Estimated Completion:</w:t>
            </w:r>
          </w:p>
        </w:tc>
        <w:tc>
          <w:tcPr/>
          <w:p>
            <w:pPr>
              <w:pStyle w:val="Compact"/>
              <w:jc w:val="left"/>
            </w:pPr>
            <w:r>
              <w:t xml:space="preserve">22 July 2025 (22 working days)</w:t>
            </w:r>
          </w:p>
        </w:tc>
      </w:tr>
      <w:tr>
        <w:tc>
          <w:tcPr/>
          <w:p>
            <w:pPr>
              <w:pStyle w:val="Compact"/>
              <w:jc w:val="left"/>
            </w:pPr>
            <w:r>
              <w:t xml:space="preserve">Currency:</w:t>
            </w:r>
          </w:p>
        </w:tc>
        <w:tc>
          <w:tcPr/>
          <w:p>
            <w:pPr>
              <w:pStyle w:val="Compact"/>
              <w:jc w:val="left"/>
            </w:pPr>
            <w:r>
              <w:t xml:space="preserve">Malaysian Ringgit (MYR / RM)</w:t>
            </w:r>
          </w:p>
        </w:tc>
      </w:tr>
    </w:tbl>
    <w:bookmarkStart w:id="23" w:name="X511d2eddc08c2d4aaa874a2e4c8b82ba8ea78c5"/>
    <w:p>
      <w:pPr>
        <w:pStyle w:val="Heading2"/>
      </w:pPr>
      <w:r>
        <w:t xml:space="preserve">Scope of Carpenter Work – Quotation Estimate Summary</w:t>
      </w:r>
    </w:p>
    <w:p>
      <w:pPr>
        <w:pStyle w:val="FirstParagraph"/>
      </w:pPr>
      <w:r>
        <w:t xml:space="preserve">This</w:t>
      </w:r>
      <w:r>
        <w:t xml:space="preserve"> </w:t>
      </w:r>
      <w:r>
        <w:t xml:space="preserve">Quotation Estimate</w:t>
      </w:r>
      <w:r>
        <w:t xml:space="preserve"> </w:t>
      </w:r>
      <w:r>
        <w:t xml:space="preserve">is prepared by KL Master Carpenter Sdn. Bhd., a licensed and registered</w:t>
      </w:r>
      <w:r>
        <w:t xml:space="preserve"> </w:t>
      </w:r>
      <w:r>
        <w:t xml:space="preserve">Carpenter</w:t>
      </w:r>
      <w:r>
        <w:t xml:space="preserve"> </w:t>
      </w:r>
      <w:r>
        <w:t xml:space="preserve">contractor operating in</w:t>
      </w:r>
      <w:r>
        <w:t xml:space="preserve"> </w:t>
      </w:r>
      <w:r>
        <w:t xml:space="preserve">Malaysia Kuala Lumpur</w:t>
      </w:r>
      <w:r>
        <w:t xml:space="preserve">, to provide a comprehensive breakdown of all carpentry services, materials, and labour costs for the residential renovation project at the client's premises. This document serves as a formal</w:t>
      </w:r>
      <w:r>
        <w:t xml:space="preserve"> </w:t>
      </w:r>
      <w:r>
        <w:t xml:space="preserve">Quotation Estimate</w:t>
      </w:r>
      <w:r>
        <w:t xml:space="preserve"> </w:t>
      </w:r>
      <w:r>
        <w:t xml:space="preserve">and does not constitute a binding contract until both parties have signed and accepted the terms outlined herein. All pricing reflects current market rates for</w:t>
      </w:r>
      <w:r>
        <w:t xml:space="preserve"> </w:t>
      </w:r>
      <w:r>
        <w:t xml:space="preserve">Carpenter</w:t>
      </w:r>
      <w:r>
        <w:t xml:space="preserve"> </w:t>
      </w:r>
      <w:r>
        <w:t xml:space="preserve">services in the</w:t>
      </w:r>
      <w:r>
        <w:t xml:space="preserve"> </w:t>
      </w:r>
      <w:r>
        <w:t xml:space="preserve">Malaysia Kuala Lumpur</w:t>
      </w:r>
      <w:r>
        <w:t xml:space="preserve"> </w:t>
      </w:r>
      <w:r>
        <w:t xml:space="preserve">metropolitan area as of June 2025.</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Custom-built master bedroom wardrobe (3-door, with internal shelving, drawers, and mirror panel) – Merbau hardwood, 18mm thickness</w:t>
            </w:r>
          </w:p>
        </w:tc>
        <w:tc>
          <w:tcPr/>
          <w:p>
            <w:pPr>
              <w:pStyle w:val="Compact"/>
              <w:jc w:val="left"/>
            </w:pPr>
            <w:r>
              <w:t xml:space="preserve">Set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Living room TV console unit with integrated cable management, floating shelf, and LED strip lighting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Kitchen cabinet refacing and replacement of 12 base units and 8 wall units – Melamine-faced MDF, soft-close hinges</w:t>
            </w:r>
          </w:p>
        </w:tc>
        <w:tc>
          <w:tcPr/>
          <w:p>
            <w:pPr>
              <w:pStyle w:val="Compact"/>
              <w:jc w:val="left"/>
            </w:pPr>
            <w:r>
              <w:t xml:space="preserve">Set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Custom bookshelf unit (floor-to-ceiling, 5 bays) for study room – Acacia wood, adjustable shelves</w:t>
            </w:r>
          </w:p>
        </w:tc>
        <w:tc>
          <w:tcPr/>
          <w:p>
            <w:pPr>
              <w:pStyle w:val="Compact"/>
              <w:jc w:val="left"/>
            </w:pPr>
            <w:r>
              <w:t xml:space="preserve">Set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Replacement of 4 interior doors (bedroom and bathroom) including frames, handles, and installation</w:t>
            </w:r>
          </w:p>
        </w:tc>
        <w:tc>
          <w:tcPr/>
          <w:p>
            <w:pPr>
              <w:pStyle w:val="Compact"/>
              <w:jc w:val="left"/>
            </w:pPr>
            <w:r>
              <w:t xml:space="preserve">Door</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6</w:t>
            </w:r>
          </w:p>
        </w:tc>
        <w:tc>
          <w:tcPr/>
          <w:p>
            <w:pPr>
              <w:pStyle w:val="Compact"/>
              <w:jc w:val="left"/>
            </w:pPr>
            <w:r>
              <w:t xml:space="preserve">Custom built-in shoe cabinet at main entrance (6-tier, with ventilation slots)</w:t>
            </w:r>
          </w:p>
        </w:tc>
        <w:tc>
          <w:tcPr/>
          <w:p>
            <w:pPr>
              <w:pStyle w:val="Compact"/>
              <w:jc w:val="left"/>
            </w:pPr>
            <w:r>
              <w:t xml:space="preserve">Set</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7</w:t>
            </w:r>
          </w:p>
        </w:tc>
        <w:tc>
          <w:tcPr/>
          <w:p>
            <w:pPr>
              <w:pStyle w:val="Compact"/>
              <w:jc w:val="left"/>
            </w:pPr>
            <w:r>
              <w:t xml:space="preserve">Demolition and removal of existing damaged wooden flooring in hallway (approx. 18 sqm)</w:t>
            </w:r>
          </w:p>
        </w:tc>
        <w:tc>
          <w:tcPr/>
          <w:p>
            <w:pPr>
              <w:pStyle w:val="Compact"/>
              <w:jc w:val="left"/>
            </w:pPr>
            <w:r>
              <w:t xml:space="preserve">Sqm</w:t>
            </w:r>
          </w:p>
        </w:tc>
        <w:tc>
          <w:tcPr/>
          <w:p>
            <w:pPr>
              <w:pStyle w:val="Compact"/>
              <w:jc w:val="left"/>
            </w:pPr>
            <w:r>
              <w:t xml:space="preserve">18</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8</w:t>
            </w:r>
          </w:p>
        </w:tc>
        <w:tc>
          <w:tcPr/>
          <w:p>
            <w:pPr>
              <w:pStyle w:val="Compact"/>
              <w:jc w:val="left"/>
            </w:pPr>
            <w:r>
              <w:t xml:space="preserve">Installation of new engineered hardwood flooring (15mm, oak finish) in hallway and study room (approx. 32 sqm)</w:t>
            </w:r>
          </w:p>
        </w:tc>
        <w:tc>
          <w:tcPr/>
          <w:p>
            <w:pPr>
              <w:pStyle w:val="Compact"/>
              <w:jc w:val="left"/>
            </w:pPr>
            <w:r>
              <w:t xml:space="preserve">Sqm</w:t>
            </w:r>
          </w:p>
        </w:tc>
        <w:tc>
          <w:tcPr/>
          <w:p>
            <w:pPr>
              <w:pStyle w:val="Compact"/>
              <w:jc w:val="left"/>
            </w:pPr>
            <w:r>
              <w:t xml:space="preserve">32</w:t>
            </w:r>
          </w:p>
        </w:tc>
        <w:tc>
          <w:tcPr/>
          <w:p>
            <w:pPr>
              <w:pStyle w:val="Compact"/>
              <w:jc w:val="left"/>
            </w:pPr>
            <w:r>
              <w:t xml:space="preserve">220.00</w:t>
            </w:r>
          </w:p>
        </w:tc>
        <w:tc>
          <w:tcPr/>
          <w:p>
            <w:pPr>
              <w:pStyle w:val="Compact"/>
              <w:jc w:val="left"/>
            </w:pPr>
            <w:r>
              <w:t xml:space="preserve">7,040.00</w:t>
            </w:r>
          </w:p>
        </w:tc>
      </w:tr>
      <w:tr>
        <w:tc>
          <w:tcPr/>
          <w:p>
            <w:pPr>
              <w:pStyle w:val="Compact"/>
              <w:jc w:val="left"/>
            </w:pPr>
            <w:r>
              <w:t xml:space="preserve">9</w:t>
            </w:r>
          </w:p>
        </w:tc>
        <w:tc>
          <w:tcPr/>
          <w:p>
            <w:pPr>
              <w:pStyle w:val="Compact"/>
              <w:jc w:val="left"/>
            </w:pPr>
            <w:r>
              <w:t xml:space="preserve">Custom window sills and skirting boards throughout the unit (approx. 65 linear metres) – matching hardwood finish</w:t>
            </w:r>
          </w:p>
        </w:tc>
        <w:tc>
          <w:tcPr/>
          <w:p>
            <w:pPr>
              <w:pStyle w:val="Compact"/>
              <w:jc w:val="left"/>
            </w:pPr>
            <w:r>
              <w:t xml:space="preserve">LM</w:t>
            </w:r>
          </w:p>
        </w:tc>
        <w:tc>
          <w:tcPr/>
          <w:p>
            <w:pPr>
              <w:pStyle w:val="Compact"/>
              <w:jc w:val="left"/>
            </w:pPr>
            <w:r>
              <w:t xml:space="preserve">65</w:t>
            </w:r>
          </w:p>
        </w:tc>
        <w:tc>
          <w:tcPr/>
          <w:p>
            <w:pPr>
              <w:pStyle w:val="Compact"/>
              <w:jc w:val="left"/>
            </w:pPr>
            <w:r>
              <w:t xml:space="preserve">95.00</w:t>
            </w:r>
          </w:p>
        </w:tc>
        <w:tc>
          <w:tcPr/>
          <w:p>
            <w:pPr>
              <w:pStyle w:val="Compact"/>
              <w:jc w:val="left"/>
            </w:pPr>
            <w:r>
              <w:t xml:space="preserve">6,175.00</w:t>
            </w:r>
          </w:p>
        </w:tc>
      </w:tr>
      <w:tr>
        <w:tc>
          <w:tcPr/>
          <w:p>
            <w:pPr>
              <w:pStyle w:val="Compact"/>
              <w:jc w:val="left"/>
            </w:pPr>
            <w:r>
              <w:t xml:space="preserve">10</w:t>
            </w:r>
          </w:p>
        </w:tc>
        <w:tc>
          <w:tcPr/>
          <w:p>
            <w:pPr>
              <w:pStyle w:val="Compact"/>
              <w:jc w:val="left"/>
            </w:pPr>
            <w:r>
              <w:t xml:space="preserve">General carpentry repairs, minor adjustments, and finishing touches (painting, sanding, sealing)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 Materials)</w:t>
            </w:r>
          </w:p>
        </w:tc>
        <w:tc>
          <w:tcPr/>
          <w:p>
            <w:pPr>
              <w:pStyle w:val="Compact"/>
              <w:jc w:val="left"/>
            </w:pPr>
            <w:r>
              <w:t xml:space="preserve">RM 56,345.00</w:t>
            </w:r>
          </w:p>
        </w:tc>
      </w:tr>
      <w:tr>
        <w:tc>
          <w:tcPr/>
          <w:p>
            <w:pPr>
              <w:pStyle w:val="Compact"/>
              <w:jc w:val="left"/>
            </w:pPr>
            <w:r>
              <w:t xml:space="preserve">SST @ 8%</w:t>
            </w:r>
          </w:p>
        </w:tc>
        <w:tc>
          <w:tcPr/>
          <w:p>
            <w:pPr>
              <w:pStyle w:val="Compact"/>
              <w:jc w:val="left"/>
            </w:pPr>
            <w:r>
              <w:t xml:space="preserve">RM 4,507.60</w:t>
            </w:r>
          </w:p>
        </w:tc>
      </w:tr>
      <w:tr>
        <w:tc>
          <w:tcPr/>
          <w:p>
            <w:pPr>
              <w:pStyle w:val="Compact"/>
              <w:jc w:val="left"/>
            </w:pPr>
            <w:r>
              <w:t xml:space="preserve">Site Supervision &amp; Project Management Fee</w:t>
            </w:r>
          </w:p>
        </w:tc>
        <w:tc>
          <w:tcPr/>
          <w:p>
            <w:pPr>
              <w:pStyle w:val="Compact"/>
              <w:jc w:val="left"/>
            </w:pPr>
            <w:r>
              <w:t xml:space="preserve">RM 2,800.00</w:t>
            </w:r>
          </w:p>
        </w:tc>
      </w:tr>
      <w:tr>
        <w:tc>
          <w:tcPr/>
          <w:p>
            <w:pPr>
              <w:pStyle w:val="Compact"/>
              <w:jc w:val="left"/>
            </w:pPr>
            <w:r>
              <w:t xml:space="preserve">Waste Disposal &amp; Site Cleanup (Kuala Lumpur Municipal Council compliant)</w:t>
            </w:r>
          </w:p>
        </w:tc>
        <w:tc>
          <w:tcPr/>
          <w:p>
            <w:pPr>
              <w:pStyle w:val="Compact"/>
              <w:jc w:val="left"/>
            </w:pPr>
            <w:r>
              <w:t xml:space="preserve">RM 1,200.00</w:t>
            </w:r>
          </w:p>
        </w:tc>
      </w:tr>
      <w:tr>
        <w:tc>
          <w:tcPr/>
          <w:p>
            <w:pPr>
              <w:pStyle w:val="Compact"/>
              <w:jc w:val="left"/>
            </w:pPr>
            <w:r>
              <w:t xml:space="preserve">GRAND TOTAL (Quotation Estimate)</w:t>
            </w:r>
          </w:p>
        </w:tc>
        <w:tc>
          <w:tcPr/>
          <w:p>
            <w:pPr>
              <w:pStyle w:val="Compact"/>
              <w:jc w:val="left"/>
            </w:pPr>
            <w:r>
              <w:t xml:space="preserve">RM 64,852.60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revised to reflect changes in material costs, labour rates, or prevailing market conditions in</w:t>
      </w:r>
      <w:r>
        <w:t xml:space="preserve"> </w:t>
      </w:r>
      <w:r>
        <w:t xml:space="preserve">Malaysia Kuala Lumpur</w:t>
      </w:r>
      <w:r>
        <w:t xml:space="preserve">.</w:t>
      </w:r>
    </w:p>
    <w:p>
      <w:pPr>
        <w:numPr>
          <w:ilvl w:val="0"/>
          <w:numId w:val="1001"/>
        </w:numPr>
        <w:pStyle w:val="Compact"/>
      </w:pPr>
      <w:r>
        <w:t xml:space="preserve">All</w:t>
      </w:r>
      <w:r>
        <w:t xml:space="preserve"> </w:t>
      </w:r>
      <w:r>
        <w:t xml:space="preserve">Carpenter</w:t>
      </w:r>
      <w:r>
        <w:t xml:space="preserve"> </w:t>
      </w:r>
      <w:r>
        <w:t xml:space="preserve">work shall be carried out in accordance with the Malaysian Building and Construction Authority (CIDB) guidelines and the local by-laws of the Kuala Lumpur City Hall (DBKL). The contractor holds a valid CIDB Grade G1 registration for carpentry and joinery works.</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70% of the work, and 20% upon final handover and client sign-off. All payments shall be made via bank transfer to the company account.</w:t>
      </w:r>
    </w:p>
    <w:p>
      <w:pPr>
        <w:numPr>
          <w:ilvl w:val="0"/>
          <w:numId w:val="1001"/>
        </w:numPr>
        <w:pStyle w:val="Compact"/>
      </w:pPr>
      <w:r>
        <w:t xml:space="preserve">The estimated project duration of twenty-two (22) working days assumes standard working hours (8:00 AM to 5:00 PM, Monday to Saturday) and is subject to weather conditions, material availability, and any unforeseen structural issues discovered during the</w:t>
      </w:r>
      <w:r>
        <w:t xml:space="preserve"> </w:t>
      </w:r>
      <w:r>
        <w:t xml:space="preserve">Carpenter</w:t>
      </w:r>
      <w:r>
        <w:t xml:space="preserve"> </w:t>
      </w:r>
      <w:r>
        <w:t xml:space="preserve">work.</w:t>
      </w:r>
    </w:p>
    <w:p>
      <w:pPr>
        <w:numPr>
          <w:ilvl w:val="0"/>
          <w:numId w:val="1001"/>
        </w:numPr>
        <w:pStyle w:val="Compact"/>
      </w:pPr>
      <w:r>
        <w:t xml:space="preserve">All materials specified in this</w:t>
      </w:r>
      <w:r>
        <w:t xml:space="preserve"> </w:t>
      </w:r>
      <w:r>
        <w:t xml:space="preserve">Quotation Estimate</w:t>
      </w:r>
      <w:r>
        <w:t xml:space="preserve"> </w:t>
      </w:r>
      <w:r>
        <w:t xml:space="preserve">are of Malaysian or certified imported quality. The</w:t>
      </w:r>
      <w:r>
        <w:t xml:space="preserve"> </w:t>
      </w:r>
      <w:r>
        <w:t xml:space="preserve">Carpenter</w:t>
      </w:r>
      <w:r>
        <w:t xml:space="preserve"> </w:t>
      </w:r>
      <w:r>
        <w:t xml:space="preserve">team shall provide material sample boards for client approval prior to fabrication.</w:t>
      </w:r>
    </w:p>
    <w:p>
      <w:pPr>
        <w:numPr>
          <w:ilvl w:val="0"/>
          <w:numId w:val="1001"/>
        </w:numPr>
        <w:pStyle w:val="Compact"/>
      </w:pPr>
      <w:r>
        <w:t xml:space="preserve">A warranty of twelve (12) months is provided on all carpentry workmanship. This warranty covers structural integrity, joint stability, and hardware functionality but does not cover damage caused by misuse, water damage, or natural wear and tear.</w:t>
      </w:r>
    </w:p>
    <w:p>
      <w:pPr>
        <w:numPr>
          <w:ilvl w:val="0"/>
          <w:numId w:val="1001"/>
        </w:numPr>
        <w:pStyle w:val="Compact"/>
      </w:pPr>
      <w:r>
        <w:t xml:space="preserve">The client is responsible for obtaining all necessary approvals from the building management committee of The Troika Residence prior to the commencement of any</w:t>
      </w:r>
      <w:r>
        <w:t xml:space="preserve"> </w:t>
      </w:r>
      <w:r>
        <w:t xml:space="preserve">Carpenter</w:t>
      </w:r>
      <w:r>
        <w:t xml:space="preserve"> </w:t>
      </w:r>
      <w:r>
        <w:t xml:space="preserve">work. The contractor shall provide all required documentation to facilitate this process.</w:t>
      </w:r>
    </w:p>
    <w:p>
      <w:pPr>
        <w:numPr>
          <w:ilvl w:val="0"/>
          <w:numId w:val="1001"/>
        </w:numPr>
        <w:pStyle w:val="Compact"/>
      </w:pPr>
      <w:r>
        <w:t xml:space="preserve">Any variations or additional work not included in this</w:t>
      </w:r>
      <w:r>
        <w:t xml:space="preserve"> </w:t>
      </w:r>
      <w:r>
        <w:t xml:space="preserve">Quotation Estimate</w:t>
      </w:r>
      <w:r>
        <w:t xml:space="preserve"> </w:t>
      </w:r>
      <w:r>
        <w:t xml:space="preserve">shall be subject to a separate written amendment and additional cost approval by the client before execution.</w:t>
      </w:r>
    </w:p>
    <w:p>
      <w:pPr>
        <w:numPr>
          <w:ilvl w:val="0"/>
          <w:numId w:val="1001"/>
        </w:numPr>
        <w:pStyle w:val="Compact"/>
      </w:pPr>
      <w:r>
        <w:t xml:space="preserve">This</w:t>
      </w:r>
      <w:r>
        <w:t xml:space="preserve"> </w:t>
      </w:r>
      <w:r>
        <w:t xml:space="preserve">Quotation Estimate</w:t>
      </w:r>
      <w:r>
        <w:t xml:space="preserve"> </w:t>
      </w:r>
      <w:r>
        <w:t xml:space="preserve">is prepared specifically for the project located in</w:t>
      </w:r>
      <w:r>
        <w:t xml:space="preserve"> </w:t>
      </w:r>
      <w:r>
        <w:t xml:space="preserve">Malaysia Kuala Lumpur</w:t>
      </w:r>
      <w:r>
        <w:t xml:space="preserve"> </w:t>
      </w:r>
      <w:r>
        <w:t xml:space="preserve">and is non-transferable to any other party or location without prior written consent from KL Master Carpenter Sdn. Bhd.</w:t>
      </w:r>
    </w:p>
    <w:p>
      <w:pPr>
        <w:numPr>
          <w:ilvl w:val="0"/>
          <w:numId w:val="1001"/>
        </w:numPr>
        <w:pStyle w:val="Compact"/>
      </w:pPr>
      <w:r>
        <w:t xml:space="preserve">In the event of any dispute arising from this</w:t>
      </w:r>
      <w:r>
        <w:t xml:space="preserve"> </w:t>
      </w:r>
      <w:r>
        <w:t xml:space="preserve">Quotation Estimate</w:t>
      </w:r>
      <w:r>
        <w:t xml:space="preserve">, both parties agree to resolve the matter amicably. Should resolution not be possible, the dispute shall be referred to the Small Claims Court in Kuala Lumpur, Malaysia, in accordance with the laws of Malaysia.</w:t>
      </w:r>
    </w:p>
    <w:bookmarkEnd w:id="25"/>
    <w:bookmarkStart w:id="26" w:name="acceptance-and-authorisation"/>
    <w:p>
      <w:pPr>
        <w:pStyle w:val="Heading2"/>
      </w:pPr>
      <w:r>
        <w:t xml:space="preserve">Acceptance and Authorisation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w:t>
      </w:r>
      <w:r>
        <w:t xml:space="preserve"> </w:t>
      </w:r>
      <w:r>
        <w:t xml:space="preserve">Carpenter</w:t>
      </w:r>
      <w:r>
        <w:t xml:space="preserve"> </w:t>
      </w:r>
      <w:r>
        <w:t xml:space="preserve">services in</w:t>
      </w:r>
      <w:r>
        <w:t xml:space="preserve"> </w:t>
      </w:r>
      <w:r>
        <w:t xml:space="preserve">Malaysia Kuala Lumpur</w:t>
      </w:r>
      <w:r>
        <w:t xml:space="preserve">. This document, once signed, shall serve as the basis for the subsequent Service Agreement and Work Order.</w:t>
      </w:r>
    </w:p>
    <w:p>
      <w:pPr>
        <w:pStyle w:val="BodyText"/>
      </w:pPr>
      <w:r>
        <w:rPr>
          <w:bCs/>
          <w:b/>
        </w:rPr>
        <w:t xml:space="preserve">For and on behalf of KL Master Carpenter Sdn. Bhd.</w:t>
      </w:r>
      <w:r>
        <w:br/>
      </w:r>
      <w:r>
        <w:t xml:space="preserve">Name: Ahmad Faizal bin Rahman</w:t>
      </w:r>
      <w:r>
        <w:br/>
      </w:r>
      <w:r>
        <w:t xml:space="preserve">Position: Director / Lead Carpenter</w:t>
      </w:r>
      <w:r>
        <w:br/>
      </w:r>
      <w:r>
        <w:t xml:space="preserve">Date: _______________</w:t>
      </w:r>
    </w:p>
    <w:p>
      <w:pPr>
        <w:pStyle w:val="BodyText"/>
      </w:pPr>
      <w:r>
        <w:rPr>
          <w:bCs/>
          <w:b/>
        </w:rPr>
        <w:t xml:space="preserve">Client / End User</w:t>
      </w:r>
      <w:r>
        <w:br/>
      </w:r>
      <w:r>
        <w:t xml:space="preserve">Name: Tan Wei Ming</w:t>
      </w:r>
      <w:r>
        <w:br/>
      </w:r>
      <w:r>
        <w:t xml:space="preserve">IC No.: _______________</w:t>
      </w:r>
      <w:r>
        <w:br/>
      </w:r>
      <w:r>
        <w:t xml:space="preserve">Date: _______________</w:t>
      </w:r>
    </w:p>
    <w:p>
      <w:pPr>
        <w:pStyle w:val="BodyText"/>
      </w:pPr>
      <w:r>
        <w:rPr>
          <w:bCs/>
          <w:b/>
        </w:rPr>
        <w:t xml:space="preserve">KL Master Carpenter Sdn. Bhd.</w:t>
      </w:r>
      <w:r>
        <w:t xml:space="preserve"> </w:t>
      </w:r>
      <w:r>
        <w:t xml:space="preserve">| No. 45, Jalan Ampang, 50350 Kuala Lumpur, Malaysia</w:t>
      </w:r>
      <w:r>
        <w:br/>
      </w:r>
      <w:r>
        <w:t xml:space="preserve">Tel: +60 3-2145 6789 | Email: info@klmastercarpenter.com.my | SSM: 201901045678</w:t>
      </w:r>
      <w:r>
        <w:br/>
      </w:r>
      <w:r>
        <w:t xml:space="preserve">This Quotation Estimate is generated electronically and is valid without a physical stamp. For queries regarding this Carpenter service quotation in Malaysia Kuala Lumpur, please contact our project management team during business hours (Mon–Sat, 9:00 AM – 6:00 PM).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Malaysia Kuala Lumpur</dc:title>
  <dc:creator/>
  <dc:language>en</dc:language>
  <cp:keywords/>
  <dcterms:created xsi:type="dcterms:W3CDTF">2026-10-10T04:08:42Z</dcterms:created>
  <dcterms:modified xsi:type="dcterms:W3CDTF">2026-10-10T04:08:42Z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