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Golden Teak Carpentry &amp; Woodwork Co., Ltd.</w:t>
      </w:r>
    </w:p>
    <w:p>
      <w:pPr>
        <w:pStyle w:val="BodyText"/>
      </w:pPr>
      <w:r>
        <w:t xml:space="preserve">142, Bogyoke Avenue, Kyauktada Township, Yangon, Myanmar</w:t>
      </w:r>
    </w:p>
    <w:p>
      <w:pPr>
        <w:pStyle w:val="BodyText"/>
      </w:pPr>
      <w:r>
        <w:t xml:space="preserve">Tel: +95-9-790-123-456 | Email: info@goldenteakmyanmar.com</w:t>
      </w:r>
    </w:p>
    <w:p>
      <w:pPr>
        <w:pStyle w:val="BodyText"/>
      </w:pPr>
      <w:r>
        <w:t xml:space="preserve">Company Registration No: 20190045678 | Tax ID: 3-123456789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GTQ-2025-00347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Myanmar Kyat (MMK)</w:t>
            </w:r>
          </w:p>
        </w:tc>
      </w:tr>
      <w:tr>
        <w:tc>
          <w:tcPr/>
          <w:p>
            <w:pPr>
              <w:pStyle w:val="Compact"/>
              <w:jc w:val="left"/>
            </w:pPr>
            <w:r>
              <w:t xml:space="preserve">Client Name</w:t>
            </w:r>
          </w:p>
        </w:tc>
        <w:tc>
          <w:tcPr/>
          <w:p>
            <w:pPr>
              <w:pStyle w:val="Compact"/>
              <w:jc w:val="left"/>
            </w:pPr>
            <w:r>
              <w:t xml:space="preserve">Mr. Aung Kyaw Min</w:t>
            </w:r>
          </w:p>
        </w:tc>
        <w:tc>
          <w:tcPr/>
          <w:p>
            <w:pPr>
              <w:pStyle w:val="Compact"/>
              <w:jc w:val="left"/>
            </w:pPr>
            <w:r>
              <w:t xml:space="preserve">Client Address</w:t>
            </w:r>
          </w:p>
        </w:tc>
        <w:tc>
          <w:tcPr/>
          <w:p>
            <w:pPr>
              <w:pStyle w:val="Compact"/>
              <w:jc w:val="left"/>
            </w:pPr>
            <w:r>
              <w:t xml:space="preserve">88, Strand Road, Sanchaung Township, Yangon, Myanmar</w:t>
            </w:r>
          </w:p>
        </w:tc>
      </w:tr>
      <w:tr>
        <w:tc>
          <w:tcPr/>
          <w:p>
            <w:pPr>
              <w:pStyle w:val="Compact"/>
              <w:jc w:val="left"/>
            </w:pPr>
            <w:r>
              <w:t xml:space="preserve">Project Location</w:t>
            </w:r>
          </w:p>
        </w:tc>
        <w:tc>
          <w:tcPr>
            <w:gridSpan w:val="3"/>
          </w:tcPr>
          <w:p>
            <w:pPr>
              <w:pStyle w:val="Compact"/>
              <w:jc w:val="left"/>
            </w:pPr>
            <w:r>
              <w:t xml:space="preserve">Residential Villa, 88 Strand Road, Sanchaung Township, Yangon, Myanmar</w:t>
            </w:r>
          </w:p>
        </w:tc>
      </w:tr>
      <w:tr>
        <w:tc>
          <w:tcPr/>
          <w:p>
            <w:pPr>
              <w:pStyle w:val="Compact"/>
              <w:jc w:val="left"/>
            </w:pPr>
            <w:r>
              <w:t xml:space="preserve">Project Type</w:t>
            </w:r>
          </w:p>
        </w:tc>
        <w:tc>
          <w:tcPr>
            <w:gridSpan w:val="3"/>
          </w:tcPr>
          <w:p>
            <w:pPr>
              <w:pStyle w:val="Compact"/>
              <w:jc w:val="left"/>
            </w:pPr>
            <w:r>
              <w:t xml:space="preserve">Full Interior Carpentry &amp; Custom Woodwork – Carpenter Services</w:t>
            </w:r>
          </w:p>
        </w:tc>
      </w:tr>
    </w:tbl>
    <w:bookmarkStart w:id="21" w:name="X503b4191b31de1aa98801621e978246e566d545"/>
    <w:p>
      <w:pPr>
        <w:pStyle w:val="Heading2"/>
      </w:pPr>
      <w:r>
        <w:t xml:space="preserve">1. Scope of Work – Carpenter Services in Myanmar Yangon</w:t>
      </w:r>
    </w:p>
    <w:p>
      <w:pPr>
        <w:pStyle w:val="FirstParagraph"/>
      </w:pPr>
      <w:r>
        <w:t xml:space="preserve">This</w:t>
      </w:r>
      <w:r>
        <w:t xml:space="preserve"> </w:t>
      </w:r>
      <w:r>
        <w:t xml:space="preserve">Quotation Estimate</w:t>
      </w:r>
      <w:r>
        <w:t xml:space="preserve"> </w:t>
      </w:r>
      <w:r>
        <w:t xml:space="preserve">is prepared by Golden Teak Carpentry &amp; Woodwork Co., Ltd. to provide comprehensive</w:t>
      </w:r>
      <w:r>
        <w:t xml:space="preserve"> </w:t>
      </w:r>
      <w:r>
        <w:t xml:space="preserve">Carpenter</w:t>
      </w:r>
      <w:r>
        <w:t xml:space="preserve"> </w:t>
      </w:r>
      <w:r>
        <w:t xml:space="preserve">services for the residential villa project located in</w:t>
      </w:r>
      <w:r>
        <w:t xml:space="preserve"> </w:t>
      </w:r>
      <w:r>
        <w:t xml:space="preserve">Myanmar Yangon</w:t>
      </w:r>
      <w:r>
        <w:t xml:space="preserve">. Our team of experienced master carpenters and skilled woodworkers will execute all carpentry and custom woodwork tasks as detailed below. The project encompasses the design, fabrication, and installation of all wooden interior elements, ensuring premium craftsmanship in line with the client's specifications and the architectural drawings provided.</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Total Amount (MMK)</w:t>
            </w:r>
          </w:p>
        </w:tc>
      </w:tr>
      <w:tr>
        <w:tc>
          <w:tcPr/>
          <w:p>
            <w:pPr>
              <w:pStyle w:val="Compact"/>
              <w:jc w:val="left"/>
            </w:pPr>
            <w:r>
              <w:t xml:space="preserve">1</w:t>
            </w:r>
          </w:p>
        </w:tc>
        <w:tc>
          <w:tcPr/>
          <w:p>
            <w:pPr>
              <w:pStyle w:val="Compact"/>
              <w:jc w:val="left"/>
            </w:pPr>
            <w:r>
              <w:t xml:space="preserve">Custom teak wood entrance door (double-leaf, 2.4m x 1.2m) with traditional Myanmar carving patterns, including hardware installation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Interior teak wood paneling for living room walls (approx. 45 sqm), including sanding, varnishing, and finishing</w:t>
            </w:r>
          </w:p>
        </w:tc>
        <w:tc>
          <w:tcPr/>
          <w:p>
            <w:pPr>
              <w:pStyle w:val="Compact"/>
              <w:jc w:val="left"/>
            </w:pPr>
            <w:r>
              <w:t xml:space="preserve">sqm</w:t>
            </w:r>
          </w:p>
        </w:tc>
        <w:tc>
          <w:tcPr/>
          <w:p>
            <w:pPr>
              <w:pStyle w:val="Compact"/>
              <w:jc w:val="left"/>
            </w:pPr>
            <w:r>
              <w:t xml:space="preserve">45</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3</w:t>
            </w:r>
          </w:p>
        </w:tc>
        <w:tc>
          <w:tcPr/>
          <w:p>
            <w:pPr>
              <w:pStyle w:val="Compact"/>
              <w:jc w:val="left"/>
            </w:pPr>
            <w:r>
              <w:t xml:space="preserve">Custom-built teak wood kitchen cabinets (upper and lower, 6.5m linear), with soft-close hinges and pull-out drawers</w:t>
            </w:r>
          </w:p>
        </w:tc>
        <w:tc>
          <w:tcPr/>
          <w:p>
            <w:pPr>
              <w:pStyle w:val="Compact"/>
              <w:jc w:val="left"/>
            </w:pPr>
            <w:r>
              <w:t xml:space="preserve">Linear m</w:t>
            </w:r>
          </w:p>
        </w:tc>
        <w:tc>
          <w:tcPr/>
          <w:p>
            <w:pPr>
              <w:pStyle w:val="Compact"/>
              <w:jc w:val="left"/>
            </w:pPr>
            <w:r>
              <w:t xml:space="preserve">6.5</w:t>
            </w:r>
          </w:p>
        </w:tc>
        <w:tc>
          <w:tcPr/>
          <w:p>
            <w:pPr>
              <w:pStyle w:val="Compact"/>
              <w:jc w:val="left"/>
            </w:pPr>
            <w:r>
              <w:t xml:space="preserve">1,200,000</w:t>
            </w:r>
          </w:p>
        </w:tc>
        <w:tc>
          <w:tcPr/>
          <w:p>
            <w:pPr>
              <w:pStyle w:val="Compact"/>
              <w:jc w:val="left"/>
            </w:pPr>
            <w:r>
              <w:t xml:space="preserve">7,800,000</w:t>
            </w:r>
          </w:p>
        </w:tc>
      </w:tr>
      <w:tr>
        <w:tc>
          <w:tcPr/>
          <w:p>
            <w:pPr>
              <w:pStyle w:val="Compact"/>
              <w:jc w:val="left"/>
            </w:pPr>
            <w:r>
              <w:t xml:space="preserve">4</w:t>
            </w:r>
          </w:p>
        </w:tc>
        <w:tc>
          <w:tcPr/>
          <w:p>
            <w:pPr>
              <w:pStyle w:val="Compact"/>
              <w:jc w:val="left"/>
            </w:pPr>
            <w:r>
              <w:t xml:space="preserve">Master bedroom wardrobe (walk-in, 3.2m x 2.8m x 2.4m) in solid teak with sliding doors, internal shelving, and hanging rails</w:t>
            </w:r>
          </w:p>
        </w:tc>
        <w:tc>
          <w:tcPr/>
          <w:p>
            <w:pPr>
              <w:pStyle w:val="Compact"/>
              <w:jc w:val="left"/>
            </w:pPr>
            <w:r>
              <w:t xml:space="preserve">Set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5</w:t>
            </w:r>
          </w:p>
        </w:tc>
        <w:tc>
          <w:tcPr/>
          <w:p>
            <w:pPr>
              <w:pStyle w:val="Compact"/>
              <w:jc w:val="left"/>
            </w:pPr>
            <w:r>
              <w:t xml:space="preserve">Teak wood staircase with handrail and balusters (14 steps), including newel posts and decorative finials</w:t>
            </w:r>
          </w:p>
        </w:tc>
        <w:tc>
          <w:tcPr/>
          <w:p>
            <w:pPr>
              <w:pStyle w:val="Compact"/>
              <w:jc w:val="left"/>
            </w:pPr>
            <w:r>
              <w:t xml:space="preserve">Set</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6</w:t>
            </w:r>
          </w:p>
        </w:tc>
        <w:tc>
          <w:tcPr/>
          <w:p>
            <w:pPr>
              <w:pStyle w:val="Compact"/>
              <w:jc w:val="left"/>
            </w:pPr>
            <w:r>
              <w:t xml:space="preserve">Custom teak wood bookshelf and display unit for study room (2.8m x 0.45m x 2.2m) with glass-fronted compartments</w:t>
            </w:r>
          </w:p>
        </w:tc>
        <w:tc>
          <w:tcPr/>
          <w:p>
            <w:pPr>
              <w:pStyle w:val="Compact"/>
              <w:jc w:val="left"/>
            </w:pPr>
            <w:r>
              <w:t xml:space="preserve">Set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Teak wood window frames and sills for 8 windows (various sizes), including weatherproof sealing and paint finish</w:t>
            </w:r>
          </w:p>
        </w:tc>
        <w:tc>
          <w:tcPr/>
          <w:p>
            <w:pPr>
              <w:pStyle w:val="Compact"/>
              <w:jc w:val="left"/>
            </w:pPr>
            <w:r>
              <w:t xml:space="preserve">Window</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8</w:t>
            </w:r>
          </w:p>
        </w:tc>
        <w:tc>
          <w:tcPr/>
          <w:p>
            <w:pPr>
              <w:pStyle w:val="Compact"/>
              <w:jc w:val="left"/>
            </w:pPr>
            <w:r>
              <w:t xml:space="preserve">Teak wood ceiling beams and decorative molding for living room and dining area (approx. 30 linear meters)</w:t>
            </w:r>
          </w:p>
        </w:tc>
        <w:tc>
          <w:tcPr/>
          <w:p>
            <w:pPr>
              <w:pStyle w:val="Compact"/>
              <w:jc w:val="left"/>
            </w:pPr>
            <w:r>
              <w:t xml:space="preserve">Linear m</w:t>
            </w:r>
          </w:p>
        </w:tc>
        <w:tc>
          <w:tcPr/>
          <w:p>
            <w:pPr>
              <w:pStyle w:val="Compact"/>
              <w:jc w:val="left"/>
            </w:pPr>
            <w:r>
              <w:t xml:space="preserve">30</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9</w:t>
            </w:r>
          </w:p>
        </w:tc>
        <w:tc>
          <w:tcPr/>
          <w:p>
            <w:pPr>
              <w:pStyle w:val="Compact"/>
              <w:jc w:val="left"/>
            </w:pPr>
            <w:r>
              <w:t xml:space="preserve">Site preparation, material delivery to Myanmar Yangon project site, scaffolding, and general carpenter labor supervision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10</w:t>
            </w:r>
          </w:p>
        </w:tc>
        <w:tc>
          <w:tcPr/>
          <w:p>
            <w:pPr>
              <w:pStyle w:val="Compact"/>
              <w:jc w:val="left"/>
            </w:pPr>
            <w:r>
              <w:t xml:space="preserve">Final sanding, oiling, and protective varnish application on all completed carpenter woodwork items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57,625,000</w:t>
            </w:r>
          </w:p>
        </w:tc>
      </w:tr>
      <w:tr>
        <w:tc>
          <w:tcPr>
            <w:gridSpan w:val="5"/>
          </w:tcPr>
          <w:p>
            <w:pPr>
              <w:pStyle w:val="Compact"/>
              <w:jc w:val="right"/>
            </w:pPr>
            <w:r>
              <w:t xml:space="preserve">VAT (5%)</w:t>
            </w:r>
          </w:p>
        </w:tc>
        <w:tc>
          <w:tcPr/>
          <w:p>
            <w:pPr>
              <w:pStyle w:val="Compact"/>
              <w:jc w:val="left"/>
            </w:pPr>
            <w:r>
              <w:t xml:space="preserve">2,881,250</w:t>
            </w:r>
          </w:p>
        </w:tc>
      </w:tr>
      <w:tr>
        <w:tc>
          <w:tcPr>
            <w:gridSpan w:val="5"/>
          </w:tcPr>
          <w:p>
            <w:pPr>
              <w:pStyle w:val="Compact"/>
              <w:jc w:val="right"/>
            </w:pPr>
            <w:r>
              <w:t xml:space="preserve">TOTAL AMOUNT (MMK)</w:t>
            </w:r>
          </w:p>
        </w:tc>
        <w:tc>
          <w:tcPr/>
          <w:p>
            <w:pPr>
              <w:pStyle w:val="Compact"/>
              <w:jc w:val="left"/>
            </w:pPr>
            <w:r>
              <w:t xml:space="preserve">60,506,250</w:t>
            </w:r>
          </w:p>
        </w:tc>
      </w:tr>
    </w:tbl>
    <w:bookmarkEnd w:id="22"/>
    <w:bookmarkStart w:id="23" w:name="project-timeline"/>
    <w:p>
      <w:pPr>
        <w:pStyle w:val="Heading2"/>
      </w:pPr>
      <w:r>
        <w:t xml:space="preserve">3. Project Timeline</w:t>
      </w:r>
    </w:p>
    <w:p>
      <w:pPr>
        <w:pStyle w:val="FirstParagraph"/>
      </w:pPr>
      <w:r>
        <w:t xml:space="preserve">The total estimated duration for completion of all</w:t>
      </w:r>
      <w:r>
        <w:t xml:space="preserve"> </w:t>
      </w:r>
      <w:r>
        <w:t xml:space="preserve">Carpenter</w:t>
      </w:r>
      <w:r>
        <w:t xml:space="preserve"> </w:t>
      </w:r>
      <w:r>
        <w:t xml:space="preserve">works at the</w:t>
      </w:r>
      <w:r>
        <w:t xml:space="preserve"> </w:t>
      </w:r>
      <w:r>
        <w:t xml:space="preserve">Myanmar Yangon</w:t>
      </w:r>
      <w:r>
        <w:t xml:space="preserve"> </w:t>
      </w:r>
      <w:r>
        <w:t xml:space="preserve">project site is</w:t>
      </w:r>
      <w:r>
        <w:t xml:space="preserve"> </w:t>
      </w:r>
      <w:r>
        <w:rPr>
          <w:bCs/>
          <w:b/>
        </w:rPr>
        <w:t xml:space="preserve">ten (10) working weeks</w:t>
      </w:r>
      <w:r>
        <w:t xml:space="preserve"> </w:t>
      </w:r>
      <w:r>
        <w:t xml:space="preserve">from the date of contract signing and receipt of the initial advance payment. A detailed weekly schedule will be provided upon contract execution. Delays caused by force majeure, client-requested design changes, or weather conditions affecting the Myanmar Yangon site will be addressed through a formal variation order.</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after the validity period due to fluctuations in teak wood and material costs in the Myanmar Yangon market.</w:t>
      </w:r>
    </w:p>
    <w:p>
      <w:pPr>
        <w:numPr>
          <w:ilvl w:val="0"/>
          <w:numId w:val="1001"/>
        </w:numPr>
        <w:pStyle w:val="Compact"/>
      </w:pPr>
      <w:r>
        <w:t xml:space="preserve">Payment Schedule: 40% advance payment upon contract signing; 30% upon completion of 60% of the carpenter work; 25% upon substantial completion; 5% retention released after a 90-day defect liability period.</w:t>
      </w:r>
    </w:p>
    <w:p>
      <w:pPr>
        <w:numPr>
          <w:ilvl w:val="0"/>
          <w:numId w:val="1001"/>
        </w:numPr>
        <w:pStyle w:val="Compact"/>
      </w:pPr>
      <w:r>
        <w:t xml:space="preserve">All materials, including solid teak wood, hardware, adhesives, varnishes, and finishing agents, shall be of premium grade and sourced from certified suppliers in Myanmar Yangon. Material samples will be presented to the client for approval before fabrication begins.</w:t>
      </w:r>
    </w:p>
    <w:p>
      <w:pPr>
        <w:numPr>
          <w:ilvl w:val="0"/>
          <w:numId w:val="1001"/>
        </w:numPr>
        <w:pStyle w:val="Compact"/>
      </w:pPr>
      <w:r>
        <w:t xml:space="preserve">The</w:t>
      </w:r>
      <w:r>
        <w:t xml:space="preserve"> </w:t>
      </w:r>
      <w:r>
        <w:t xml:space="preserve">Carpenter</w:t>
      </w:r>
      <w:r>
        <w:t xml:space="preserve"> </w:t>
      </w:r>
      <w:r>
        <w:t xml:space="preserve">team assigned to this project shall consist of a lead master carpenter, four (4) skilled carpenters, and two (2) apprentices, all supervised by a dedicated project manager from Golden Teak Carpentry &amp; Woodwork Co., Ltd.</w:t>
      </w:r>
    </w:p>
    <w:p>
      <w:pPr>
        <w:numPr>
          <w:ilvl w:val="0"/>
          <w:numId w:val="1001"/>
        </w:numPr>
        <w:pStyle w:val="Compact"/>
      </w:pPr>
      <w:r>
        <w:t xml:space="preserve">All work shall comply with the Myanmar Building Code and applicable local regulations in Yangon. The contractor shall obtain all necessary permits and notifications from the Yangon City Development Committee prior to commencing work.</w:t>
      </w:r>
    </w:p>
    <w:p>
      <w:pPr>
        <w:numPr>
          <w:ilvl w:val="0"/>
          <w:numId w:val="1001"/>
        </w:numPr>
        <w:pStyle w:val="Compact"/>
      </w:pPr>
      <w:r>
        <w:t xml:space="preserve">A warranty period of two (2) years is provided on all carpentry workmanship. Material defects will be covered under the manufacturer's warranty. The warranty does not cover damage caused by misuse, natural disasters, or unauthorized modifications.</w:t>
      </w:r>
    </w:p>
    <w:p>
      <w:pPr>
        <w:numPr>
          <w:ilvl w:val="0"/>
          <w:numId w:val="1001"/>
        </w:numPr>
        <w:pStyle w:val="Compact"/>
      </w:pPr>
      <w:r>
        <w:t xml:space="preserve">Any changes to the scope of work, design modifications, or additional carpenter tasks requested by the client after this</w:t>
      </w:r>
      <w:r>
        <w:t xml:space="preserve"> </w:t>
      </w:r>
      <w:r>
        <w:t xml:space="preserve">Quotation Estimate</w:t>
      </w:r>
      <w:r>
        <w:t xml:space="preserve"> </w:t>
      </w:r>
      <w:r>
        <w:t xml:space="preserve">has been accepted shall be documented in a written Variation Order and priced separately.</w:t>
      </w:r>
    </w:p>
    <w:p>
      <w:pPr>
        <w:numPr>
          <w:ilvl w:val="0"/>
          <w:numId w:val="1001"/>
        </w:numPr>
        <w:pStyle w:val="Compact"/>
      </w:pPr>
      <w:r>
        <w:t xml:space="preserve">The contractor shall maintain adequate insurance coverage, including public liability and workers' compensation, throughout the duration of the project at the Myanmar Yangon site.</w:t>
      </w:r>
    </w:p>
    <w:p>
      <w:pPr>
        <w:numPr>
          <w:ilvl w:val="0"/>
          <w:numId w:val="1001"/>
        </w:numPr>
        <w:pStyle w:val="Compact"/>
      </w:pPr>
      <w:r>
        <w:t xml:space="preserve">Disputes arising from this agreement shall be resolved through amicable negotiation. If unresolved, the matter shall be referred to arbitration under the Myanmar Arbitration Law in Yangon.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the formal Service Agreement and the client has issued a written Purchase Order.</w:t>
      </w:r>
    </w:p>
    <w:bookmarkEnd w:id="24"/>
    <w:bookmarkStart w:id="25" w:name="acceptance-and-authorization"/>
    <w:p>
      <w:pPr>
        <w:pStyle w:val="Heading2"/>
      </w:pPr>
      <w:r>
        <w:t xml:space="preserve">5. Acceptance and Authorization</w:t>
      </w:r>
    </w:p>
    <w:p>
      <w:pPr>
        <w:pStyle w:val="FirstParagraph"/>
      </w:pPr>
      <w:r>
        <w:rPr>
          <w:bCs/>
          <w:b/>
        </w:rPr>
        <w:t xml:space="preserve">For and on behalf of:</w:t>
      </w:r>
      <w:r>
        <w:br/>
      </w:r>
      <w:r>
        <w:t xml:space="preserve">Golden Teak Carpentry &amp; Woodwork Co., Ltd.</w:t>
      </w:r>
    </w:p>
    <w:p>
      <w:pPr>
        <w:pStyle w:val="BodyText"/>
      </w:pPr>
      <w:r>
        <w:t xml:space="preserve">Name: U Thura Win</w:t>
      </w:r>
      <w:r>
        <w:br/>
      </w:r>
      <w:r>
        <w:t xml:space="preserve">Position: Managing Director</w:t>
      </w:r>
      <w:r>
        <w:br/>
      </w:r>
      <w:r>
        <w:t xml:space="preserve">Signature &amp; Company Stamp</w:t>
      </w:r>
    </w:p>
    <w:p>
      <w:pPr>
        <w:pStyle w:val="BodyText"/>
      </w:pPr>
      <w:r>
        <w:rPr>
          <w:bCs/>
          <w:b/>
        </w:rPr>
        <w:t xml:space="preserve">Client Acknowledgment:</w:t>
      </w:r>
      <w:r>
        <w:br/>
      </w:r>
      <w:r>
        <w:t xml:space="preserve">Mr. Aung Kyaw Min</w:t>
      </w:r>
    </w:p>
    <w:p>
      <w:pPr>
        <w:pStyle w:val="BodyText"/>
      </w:pPr>
      <w:r>
        <w:t xml:space="preserve">Name: Mr. Aung Kyaw Min</w:t>
      </w:r>
      <w:r>
        <w:br/>
      </w:r>
      <w:r>
        <w:t xml:space="preserve">Position: Project Owner</w:t>
      </w:r>
      <w:r>
        <w:br/>
      </w:r>
      <w:r>
        <w:t xml:space="preserve">Signature &amp; Date</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for</w:t>
      </w:r>
      <w:r>
        <w:t xml:space="preserve"> </w:t>
      </w:r>
      <w:r>
        <w:t xml:space="preserve">Carpenter</w:t>
      </w:r>
      <w:r>
        <w:t xml:space="preserve"> </w:t>
      </w:r>
      <w:r>
        <w:t xml:space="preserve">services in</w:t>
      </w:r>
      <w:r>
        <w:t xml:space="preserve"> </w:t>
      </w:r>
      <w:r>
        <w:t xml:space="preserve">Myanmar Yangon</w:t>
      </w:r>
      <w:r>
        <w:t xml:space="preserve"> </w:t>
      </w:r>
      <w:r>
        <w:t xml:space="preserve">is prepared exclusively for the client named above and is non-transferable. All prices are quoted in Myanmar Kyat (MMK) and are inclusive of all materials, labor, tools, and site logistics. This document is the property of Golden Teak Carpentry &amp; Woodwork Co., Ltd. and shall not be reproduced or distributed without written consent. For inquiries or clarifications regarding this estimate, please contact our project office in Yangon during business hours (Monday to Saturday, 9:00 AM – 5:00 PM).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Myanmar Yangon</dc:title>
  <dc:creator/>
  <dc:language>en</dc:language>
  <cp:keywords/>
  <dcterms:created xsi:type="dcterms:W3CDTF">2026-10-10T01:11:58Z</dcterms:created>
  <dcterms:modified xsi:type="dcterms:W3CDTF">2026-10-10T01:11:58Z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