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Carpenter Services — Peru Lima</w:t>
      </w:r>
    </w:p>
    <w:p>
      <w:pPr>
        <w:pStyle w:val="BodyText"/>
      </w:pPr>
      <w:r>
        <w:t xml:space="preserve">Document Reference: QE-PL-2025-0472</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Peruvian Sol (PEN / S/)</w:t>
      </w:r>
    </w:p>
    <w:p>
      <w:pPr>
        <w:pStyle w:val="BodyText"/>
      </w:pPr>
      <w:r>
        <w:rPr>
          <w:bCs/>
          <w:b/>
        </w:rPr>
        <w:t xml:space="preserve">Prepared By:</w:t>
      </w:r>
      <w:r>
        <w:t xml:space="preserve"> </w:t>
      </w:r>
      <w:r>
        <w:t xml:space="preserve">Master Carpenter &amp; Workshop</w:t>
      </w:r>
      <w:r>
        <w:br/>
      </w:r>
      <w:r>
        <w:rPr>
          <w:bCs/>
          <w:b/>
        </w:rPr>
        <w:t xml:space="preserve">Location:</w:t>
      </w:r>
      <w:r>
        <w:t xml:space="preserve"> </w:t>
      </w:r>
      <w:r>
        <w:t xml:space="preserve">Av. Javier Prado Este 1245, San Isidro</w:t>
      </w:r>
      <w:r>
        <w:br/>
      </w:r>
      <w:r>
        <w:rPr>
          <w:bCs/>
          <w:b/>
        </w:rPr>
        <w:t xml:space="preserve">City:</w:t>
      </w:r>
      <w:r>
        <w:t xml:space="preserve"> </w:t>
      </w:r>
      <w:r>
        <w:t xml:space="preserve">Peru Lima, 15081</w:t>
      </w:r>
      <w:r>
        <w:br/>
      </w:r>
      <w:r>
        <w:rPr>
          <w:bCs/>
          <w:b/>
        </w:rPr>
        <w:t xml:space="preserve">Phone:</w:t>
      </w:r>
      <w:r>
        <w:t xml:space="preserve"> </w:t>
      </w:r>
      <w:r>
        <w:t xml:space="preserve">+51 1 445-6789</w:t>
      </w:r>
      <w:r>
        <w:br/>
      </w:r>
      <w:r>
        <w:rPr>
          <w:bCs/>
          <w:b/>
        </w:rPr>
        <w:t xml:space="preserve">Email:</w:t>
      </w:r>
      <w:r>
        <w:t xml:space="preserve"> </w:t>
      </w:r>
      <w:r>
        <w:t xml:space="preserve">carpenter@limeaworkshop.pe</w:t>
      </w:r>
    </w:p>
    <w:p>
      <w:pPr>
        <w:pStyle w:val="BodyText"/>
      </w:pPr>
      <w:r>
        <w:t xml:space="preserve">CLIENT INFORMATION</w:t>
      </w:r>
    </w:p>
    <w:p>
      <w:pPr>
        <w:pStyle w:val="BodyText"/>
      </w:pPr>
      <w:r>
        <w:rPr>
          <w:bCs/>
          <w:b/>
        </w:rPr>
        <w:t xml:space="preserve">Client Name:</w:t>
      </w:r>
      <w:r>
        <w:t xml:space="preserve"> </w:t>
      </w:r>
      <w:r>
        <w:t xml:space="preserve">Ing. Ricardo Mendoza Salazar</w:t>
      </w:r>
    </w:p>
    <w:p>
      <w:pPr>
        <w:pStyle w:val="BodyText"/>
      </w:pPr>
      <w:r>
        <w:rPr>
          <w:bCs/>
          <w:b/>
        </w:rPr>
        <w:t xml:space="preserve">Company:</w:t>
      </w:r>
      <w:r>
        <w:t xml:space="preserve"> </w:t>
      </w:r>
      <w:r>
        <w:t xml:space="preserve">Constructora Andina del Pacífico S.A.C.</w:t>
      </w:r>
    </w:p>
    <w:p>
      <w:pPr>
        <w:pStyle w:val="BodyText"/>
      </w:pPr>
      <w:r>
        <w:rPr>
          <w:bCs/>
          <w:b/>
        </w:rPr>
        <w:t xml:space="preserve">Project Address:</w:t>
      </w:r>
      <w:r>
        <w:t xml:space="preserve"> </w:t>
      </w:r>
      <w:r>
        <w:t xml:space="preserve">Jr. Los Pinos 892, Miraflores, Peru Lima</w:t>
      </w:r>
    </w:p>
    <w:p>
      <w:pPr>
        <w:pStyle w:val="BodyText"/>
      </w:pPr>
      <w:r>
        <w:rPr>
          <w:bCs/>
          <w:b/>
        </w:rPr>
        <w:t xml:space="preserve">RUC:</w:t>
      </w:r>
      <w:r>
        <w:t xml:space="preserve"> </w:t>
      </w:r>
      <w:r>
        <w:t xml:space="preserve">20587432190</w:t>
      </w:r>
    </w:p>
    <w:p>
      <w:pPr>
        <w:pStyle w:val="BodyText"/>
      </w:pPr>
      <w:r>
        <w:rPr>
          <w:bCs/>
          <w:b/>
        </w:rPr>
        <w:t xml:space="preserve">Contact Phone:</w:t>
      </w:r>
      <w:r>
        <w:t xml:space="preserve"> </w:t>
      </w:r>
      <w:r>
        <w:t xml:space="preserve">+51 987 654 321</w:t>
      </w:r>
    </w:p>
    <w:p>
      <w:pPr>
        <w:pStyle w:val="BodyText"/>
      </w:pPr>
      <w:r>
        <w:rPr>
          <w:bCs/>
          <w:b/>
        </w:rPr>
        <w:t xml:space="preserve">Email:</w:t>
      </w:r>
      <w:r>
        <w:t xml:space="preserve"> </w:t>
      </w:r>
      <w:r>
        <w:t xml:space="preserve">r.mendoza@constructoraandina.pe</w:t>
      </w:r>
    </w:p>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issued by our licensed</w:t>
      </w:r>
      <w:r>
        <w:t xml:space="preserve"> </w:t>
      </w:r>
      <w:r>
        <w:t xml:space="preserve">Carpenter</w:t>
      </w:r>
      <w:r>
        <w:t xml:space="preserve"> </w:t>
      </w:r>
      <w:r>
        <w:t xml:space="preserve">workshop, operating in the heart of</w:t>
      </w:r>
      <w:r>
        <w:t xml:space="preserve"> </w:t>
      </w:r>
      <w:r>
        <w:t xml:space="preserve">Peru Lima</w:t>
      </w:r>
      <w:r>
        <w:t xml:space="preserve">, for the comprehensive design, fabrication, and installation of custom wooden furniture and architectural woodwork for the residential project located in Miraflores, Peru Lima. Our master Carpenter has over twenty-two years of experience working with native Peruvian hardwoods including cedar, algarrobo, and quebracho, as well as imported species such as walnut and oak. All work will be performed in strict compliance with the municipal building regulations of the Lima Metropolitan Government and the Peruvian National Building Code (RNE).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Custom kitchen cabinetry (upper and lower units) with soft-close hardware, including countertop installation</w:t>
            </w:r>
          </w:p>
        </w:tc>
        <w:tc>
          <w:tcPr/>
          <w:p>
            <w:pPr>
              <w:pStyle w:val="Compact"/>
              <w:jc w:val="left"/>
            </w:pPr>
            <w:r>
              <w:t xml:space="preserve">Cedar (Cedro) + MDF</w:t>
            </w:r>
          </w:p>
        </w:tc>
        <w:tc>
          <w:tcPr/>
          <w:p>
            <w:pPr>
              <w:pStyle w:val="Compact"/>
              <w:jc w:val="left"/>
            </w:pPr>
            <w:r>
              <w:t xml:space="preserve">1 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Master bedroom wardrobe with sliding doors, interior shelving, and LED strip lighting</w:t>
            </w:r>
          </w:p>
        </w:tc>
        <w:tc>
          <w:tcPr/>
          <w:p>
            <w:pPr>
              <w:pStyle w:val="Compact"/>
              <w:jc w:val="left"/>
            </w:pPr>
            <w:r>
              <w:t xml:space="preserve">Algarrobo + Glass</w:t>
            </w:r>
          </w:p>
        </w:tc>
        <w:tc>
          <w:tcPr/>
          <w:p>
            <w:pPr>
              <w:pStyle w:val="Compact"/>
              <w:jc w:val="left"/>
            </w:pPr>
            <w:r>
              <w:t xml:space="preserve">1 unit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Living room entertainment center with integrated cable management and acoustic paneling</w:t>
            </w:r>
          </w:p>
        </w:tc>
        <w:tc>
          <w:tcPr/>
          <w:p>
            <w:pPr>
              <w:pStyle w:val="Compact"/>
              <w:jc w:val="left"/>
            </w:pPr>
            <w:r>
              <w:t xml:space="preserve">Walnut (Nogal)</w:t>
            </w:r>
          </w:p>
        </w:tc>
        <w:tc>
          <w:tcPr/>
          <w:p>
            <w:pPr>
              <w:pStyle w:val="Compact"/>
              <w:jc w:val="left"/>
            </w:pPr>
            <w:r>
              <w:t xml:space="preserve">1 unit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Staircase handrail and balustrade (18 steps) with turned balusters and newel posts</w:t>
            </w:r>
          </w:p>
        </w:tc>
        <w:tc>
          <w:tcPr/>
          <w:p>
            <w:pPr>
              <w:pStyle w:val="Compact"/>
              <w:jc w:val="left"/>
            </w:pPr>
            <w:r>
              <w:t xml:space="preserve">Quebracho</w:t>
            </w:r>
          </w:p>
        </w:tc>
        <w:tc>
          <w:tcPr/>
          <w:p>
            <w:pPr>
              <w:pStyle w:val="Compact"/>
              <w:jc w:val="left"/>
            </w:pPr>
            <w:r>
              <w:t xml:space="preserve">1 set</w:t>
            </w:r>
          </w:p>
        </w:tc>
        <w:tc>
          <w:tcPr/>
          <w:p>
            <w:pPr>
              <w:pStyle w:val="Compact"/>
              <w:jc w:val="left"/>
            </w:pPr>
            <w:r>
              <w:t xml:space="preserve">7,350.00</w:t>
            </w:r>
          </w:p>
        </w:tc>
        <w:tc>
          <w:tcPr/>
          <w:p>
            <w:pPr>
              <w:pStyle w:val="Compact"/>
              <w:jc w:val="left"/>
            </w:pPr>
            <w:r>
              <w:t xml:space="preserve">7,350.00</w:t>
            </w:r>
          </w:p>
        </w:tc>
      </w:tr>
      <w:tr>
        <w:tc>
          <w:tcPr/>
          <w:p>
            <w:pPr>
              <w:pStyle w:val="Compact"/>
              <w:jc w:val="left"/>
            </w:pPr>
            <w:r>
              <w:t xml:space="preserve">5</w:t>
            </w:r>
          </w:p>
        </w:tc>
        <w:tc>
          <w:tcPr/>
          <w:p>
            <w:pPr>
              <w:pStyle w:val="Compact"/>
              <w:jc w:val="left"/>
            </w:pPr>
            <w:r>
              <w:t xml:space="preserve">Entryway console table with decorative inlay work and brass fittings</w:t>
            </w:r>
          </w:p>
        </w:tc>
        <w:tc>
          <w:tcPr/>
          <w:p>
            <w:pPr>
              <w:pStyle w:val="Compact"/>
              <w:jc w:val="left"/>
            </w:pPr>
            <w:r>
              <w:t xml:space="preserve">Algarrobo + Brass</w:t>
            </w:r>
          </w:p>
        </w:tc>
        <w:tc>
          <w:tcPr/>
          <w:p>
            <w:pPr>
              <w:pStyle w:val="Compact"/>
              <w:jc w:val="left"/>
            </w:pPr>
            <w:r>
              <w:t xml:space="preserve">1 pc</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Bathroom vanity units (2 bathrooms) with stone countertops and undermount sinks</w:t>
            </w:r>
          </w:p>
        </w:tc>
        <w:tc>
          <w:tcPr/>
          <w:p>
            <w:pPr>
              <w:pStyle w:val="Compact"/>
              <w:jc w:val="left"/>
            </w:pPr>
            <w:r>
              <w:t xml:space="preserve">Cedar + Granite</w:t>
            </w:r>
          </w:p>
        </w:tc>
        <w:tc>
          <w:tcPr/>
          <w:p>
            <w:pPr>
              <w:pStyle w:val="Compact"/>
              <w:jc w:val="left"/>
            </w:pPr>
            <w:r>
              <w:t xml:space="preserve">2 units</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Custom bookshelf wall (full height, 4.2m wide) with adjustable shelving and hidden compartments</w:t>
            </w:r>
          </w:p>
        </w:tc>
        <w:tc>
          <w:tcPr/>
          <w:p>
            <w:pPr>
              <w:pStyle w:val="Compact"/>
              <w:jc w:val="left"/>
            </w:pPr>
            <w:r>
              <w:t xml:space="preserve">Oak (Roble)</w:t>
            </w:r>
          </w:p>
        </w:tc>
        <w:tc>
          <w:tcPr/>
          <w:p>
            <w:pPr>
              <w:pStyle w:val="Compact"/>
              <w:jc w:val="left"/>
            </w:pPr>
            <w:r>
              <w:t xml:space="preserve">1 set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Site preparation, material delivery to Peru Lima project site, and final installation labor</w:t>
            </w:r>
          </w:p>
        </w:tc>
        <w:tc>
          <w:tcPr/>
          <w:p>
            <w:pPr>
              <w:pStyle w:val="Compact"/>
              <w:jc w:val="left"/>
            </w:pPr>
            <w:r>
              <w:t xml:space="preserve">—</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Finishing: sanding, oil-based varnish (3 coats), and protective wax application on all pieces</w:t>
            </w:r>
          </w:p>
        </w:tc>
        <w:tc>
          <w:tcPr/>
          <w:p>
            <w:pPr>
              <w:pStyle w:val="Compact"/>
              <w:jc w:val="left"/>
            </w:pPr>
            <w:r>
              <w:t xml:space="preserve">—</w:t>
            </w:r>
          </w:p>
        </w:tc>
        <w:tc>
          <w:tcPr/>
          <w:p>
            <w:pPr>
              <w:pStyle w:val="Compact"/>
              <w:jc w:val="left"/>
            </w:pPr>
            <w:r>
              <w:t xml:space="preserve">1 lot</w:t>
            </w:r>
          </w:p>
        </w:tc>
        <w:tc>
          <w:tcPr/>
          <w:p>
            <w:pPr>
              <w:pStyle w:val="Compact"/>
              <w:jc w:val="left"/>
            </w:pPr>
            <w:r>
              <w:t xml:space="preserve">2,450.00</w:t>
            </w:r>
          </w:p>
        </w:tc>
        <w:tc>
          <w:tcPr/>
          <w:p>
            <w:pPr>
              <w:pStyle w:val="Compact"/>
              <w:jc w:val="left"/>
            </w:pPr>
            <w:r>
              <w:t xml:space="preserve">2,450.00</w:t>
            </w:r>
          </w:p>
        </w:tc>
      </w:tr>
      <w:tr>
        <w:tc>
          <w:tcPr>
            <w:gridSpan w:val="5"/>
          </w:tcPr>
          <w:p>
            <w:pPr>
              <w:pStyle w:val="Compact"/>
              <w:jc w:val="right"/>
            </w:pPr>
            <w:r>
              <w:t xml:space="preserve">SUBTOTAL</w:t>
            </w:r>
          </w:p>
        </w:tc>
        <w:tc>
          <w:tcPr/>
          <w:p>
            <w:pPr>
              <w:pStyle w:val="Compact"/>
              <w:jc w:val="left"/>
            </w:pPr>
            <w:r>
              <w:t xml:space="preserve">S/ 47,800.00</w:t>
            </w:r>
          </w:p>
        </w:tc>
      </w:tr>
      <w:tr>
        <w:tc>
          <w:tcPr>
            <w:gridSpan w:val="5"/>
          </w:tcPr>
          <w:p>
            <w:pPr>
              <w:pStyle w:val="Compact"/>
              <w:jc w:val="right"/>
            </w:pPr>
            <w:r>
              <w:t xml:space="preserve">IGV (18% Tax)</w:t>
            </w:r>
          </w:p>
        </w:tc>
        <w:tc>
          <w:tcPr/>
          <w:p>
            <w:pPr>
              <w:pStyle w:val="Compact"/>
              <w:jc w:val="left"/>
            </w:pPr>
            <w:r>
              <w:t xml:space="preserve">S/ 8,604.00</w:t>
            </w:r>
          </w:p>
        </w:tc>
      </w:tr>
      <w:tr>
        <w:tc>
          <w:tcPr>
            <w:gridSpan w:val="5"/>
          </w:tcPr>
          <w:p>
            <w:pPr>
              <w:pStyle w:val="Compact"/>
              <w:jc w:val="right"/>
            </w:pPr>
            <w:r>
              <w:t xml:space="preserve">TOTAL QUOTATION ESTIMATE</w:t>
            </w:r>
          </w:p>
        </w:tc>
        <w:tc>
          <w:tcPr/>
          <w:p>
            <w:pPr>
              <w:pStyle w:val="Compact"/>
              <w:jc w:val="left"/>
            </w:pPr>
            <w:r>
              <w:t xml:space="preserve">S/ 56,404.00</w:t>
            </w:r>
          </w:p>
        </w:tc>
      </w:tr>
    </w:tbl>
    <w:p>
      <w:pPr>
        <w:pStyle w:val="BodyText"/>
      </w:pPr>
      <w:r>
        <w:rPr>
          <w:bCs/>
          <w:b/>
        </w:rPr>
        <w:t xml:space="preserve">Note:</w:t>
      </w:r>
      <w:r>
        <w:t xml:space="preserve"> </w:t>
      </w:r>
      <w:r>
        <w:t xml:space="preserve">This Quotation Estimate is specific to the project located in Peru Lima and includes all labor, materials, and finishing as described. The Carpenter workshop guarantees a minimum of 12 months on all structural joinery and 6 months on hardware and finishes. Any additional modifications requested after the initial approval of this Quotation Estimate will be subject to a separate written amendment.</w:t>
      </w:r>
    </w:p>
    <w:p>
      <w:pPr>
        <w:pStyle w:val="BodyText"/>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material prices in the Peru Lima market may fluctuate, and the Carpenter workshop reserves the right to revise pricing.</w:t>
      </w:r>
    </w:p>
    <w:p>
      <w:pPr>
        <w:numPr>
          <w:ilvl w:val="0"/>
          <w:numId w:val="1001"/>
        </w:numPr>
        <w:pStyle w:val="Compact"/>
      </w:pPr>
      <w:r>
        <w:rPr>
          <w:bCs/>
          <w:b/>
        </w:rPr>
        <w:t xml:space="preserve">Payment Schedule:</w:t>
      </w:r>
      <w:r>
        <w:t xml:space="preserve"> </w:t>
      </w:r>
      <w:r>
        <w:t xml:space="preserve">40% advance payment upon signing (S/ 22,561.60), 40% upon completion of fabrication in the workshop (S/ 22,561.60), and 20% upon final installation and client sign-off at the Peru Lima site (S/ 11,280.80).</w:t>
      </w:r>
    </w:p>
    <w:p>
      <w:pPr>
        <w:numPr>
          <w:ilvl w:val="0"/>
          <w:numId w:val="1001"/>
        </w:numPr>
        <w:pStyle w:val="Compact"/>
      </w:pPr>
      <w:r>
        <w:rPr>
          <w:bCs/>
          <w:b/>
        </w:rPr>
        <w:t xml:space="preserve">Project Timeline:</w:t>
      </w:r>
      <w:r>
        <w:t xml:space="preserve"> </w:t>
      </w:r>
      <w:r>
        <w:t xml:space="preserve">Estimated completion period is eight (8) weeks from the date of the advance payment, subject to material availability in the Peru Lima supply chain.</w:t>
      </w:r>
    </w:p>
    <w:p>
      <w:pPr>
        <w:numPr>
          <w:ilvl w:val="0"/>
          <w:numId w:val="1001"/>
        </w:numPr>
        <w:pStyle w:val="Compact"/>
      </w:pPr>
      <w:r>
        <w:rPr>
          <w:bCs/>
          <w:b/>
        </w:rPr>
        <w:t xml:space="preserve">Warranty:</w:t>
      </w:r>
      <w:r>
        <w:t xml:space="preserve"> </w:t>
      </w:r>
      <w:r>
        <w:t xml:space="preserve">The Carpenter provides a twelve-month structural warranty and a six-month finish warranty on all delivered pieces. Warranty claims must be submitted in writing within the warranty period.</w:t>
      </w:r>
    </w:p>
    <w:p>
      <w:pPr>
        <w:numPr>
          <w:ilvl w:val="0"/>
          <w:numId w:val="1001"/>
        </w:numPr>
        <w:pStyle w:val="Compact"/>
      </w:pPr>
      <w:r>
        <w:rPr>
          <w:bCs/>
          <w:b/>
        </w:rPr>
        <w:t xml:space="preserve">Change Orders:</w:t>
      </w:r>
      <w:r>
        <w:t xml:space="preserve"> </w:t>
      </w:r>
      <w:r>
        <w:t xml:space="preserve">Any changes to the scope of work after this Quotation Estimate is accepted must be documented in a written Change Order signed by both parties before additional work commences.</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civil jurisdiction in Peru Lima, in accordance with Peruvian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Peru Lima region.</w:t>
      </w:r>
    </w:p>
    <w:p>
      <w:pPr>
        <w:pStyle w:val="FirstParagraph"/>
      </w:pPr>
      <w:r>
        <w:t xml:space="preserve">ACCEPTANCE AND SIGNATURES</w:t>
      </w:r>
    </w:p>
    <w:p>
      <w:pPr>
        <w:pStyle w:val="BodyText"/>
      </w:pPr>
      <w:r>
        <w:t xml:space="preserve">By signing below, both parties acknowledge and agree to the terms, scope, and pricing outlined in this Quotation Estimate for Carpenter services in Peru Lima. This document constitutes a binding agreement upon execution by both the Carpenter workshop representative and the client.</w:t>
      </w:r>
    </w:p>
    <w:p>
      <w:pPr>
        <w:pStyle w:val="BodyText"/>
      </w:pPr>
      <w:r>
        <w:rPr>
          <w:bCs/>
          <w:b/>
        </w:rPr>
        <w:t xml:space="preserve">For the Carpenter Workshop:</w:t>
      </w:r>
    </w:p>
    <w:p>
      <w:pPr>
        <w:pStyle w:val="BodyText"/>
      </w:pPr>
      <w:r>
        <w:rPr>
          <w:bCs/>
          <w:b/>
        </w:rPr>
        <w:t xml:space="preserve">Don. Alejandro Vargas Quispe</w:t>
      </w:r>
      <w:r>
        <w:br/>
      </w:r>
      <w:r>
        <w:t xml:space="preserve">Master Carpenter &amp; Workshop Owner</w:t>
      </w:r>
      <w:r>
        <w:br/>
      </w:r>
      <w:r>
        <w:t xml:space="preserve">CIP N° 12345</w:t>
      </w:r>
      <w:r>
        <w:br/>
      </w:r>
      <w:r>
        <w:t xml:space="preserve">Date: _______________</w:t>
      </w:r>
    </w:p>
    <w:p>
      <w:pPr>
        <w:pStyle w:val="BodyText"/>
      </w:pPr>
      <w:r>
        <w:rPr>
          <w:bCs/>
          <w:b/>
        </w:rPr>
        <w:t xml:space="preserve">For the Client:</w:t>
      </w:r>
    </w:p>
    <w:p>
      <w:pPr>
        <w:pStyle w:val="BodyText"/>
      </w:pPr>
      <w:r>
        <w:rPr>
          <w:bCs/>
          <w:b/>
        </w:rPr>
        <w:t xml:space="preserve">Ing. Ricardo Mendoza Salazar</w:t>
      </w:r>
      <w:r>
        <w:br/>
      </w:r>
      <w:r>
        <w:t xml:space="preserve">Representative, Constructora Andina del Pacífico S.A.C.</w:t>
      </w:r>
      <w:r>
        <w:br/>
      </w:r>
      <w:r>
        <w:t xml:space="preserve">DNI: 45678901</w:t>
      </w:r>
      <w:r>
        <w:br/>
      </w:r>
      <w:r>
        <w:t xml:space="preserve">Date: _______________</w:t>
      </w:r>
    </w:p>
    <w:p>
      <w:pPr>
        <w:pStyle w:val="BodyText"/>
      </w:pPr>
      <w:r>
        <w:t xml:space="preserve">This Quotation Estimate was prepared by the Carpenter workshop registered in Peru Lima under RUC 20601234567.</w:t>
      </w:r>
      <w:r>
        <w:br/>
      </w:r>
      <w:r>
        <w:t xml:space="preserve">Av. Javier Prado Este 1245, San Isidro, Peru Lima 15081 • +51 1 445-6789 • carpenter@limeaworkshop.pe</w:t>
      </w:r>
      <w:r>
        <w:br/>
      </w:r>
      <w:r>
        <w:t xml:space="preserve">Document QE-PL-2025-0472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Peru Lima</dc:title>
  <dc:creator/>
  <dc:language>en</dc:language>
  <cp:keywords/>
  <dcterms:created xsi:type="dcterms:W3CDTF">2026-10-10T03:56:40Z</dcterms:created>
  <dcterms:modified xsi:type="dcterms:W3CDTF">2026-10-10T03:56:40Z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