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X1aa22e28c12d1877418c64e15bb314ac6e03b8a"/>
    <w:p>
      <w:pPr>
        <w:pStyle w:val="Heading1"/>
      </w:pPr>
      <w:r>
        <w:t xml:space="preserve">Petersburg Master Carpentry &amp; Woodworks LLC</w:t>
      </w:r>
    </w:p>
    <w:p>
      <w:pPr>
        <w:pStyle w:val="FirstParagraph"/>
      </w:pPr>
      <w:r>
        <w:t xml:space="preserve">12 Nevsky Prospekt, Building 4, Office 217, Saint Petersburg, 191025, Russian Federation</w:t>
      </w:r>
    </w:p>
    <w:p>
      <w:pPr>
        <w:pStyle w:val="BodyText"/>
      </w:pPr>
      <w:r>
        <w:t xml:space="preserve">Tel: +7 (812) 555-0142 | Email: estimates@petersburgcarpentry.ru | INN: 7811234567</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QTE-SPB-2025-0487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Mr. Alexander V. Petrov, Private Residence, 8 Vasilyevsky Island, Saint Petersburg, 199034, Russia</w:t>
            </w:r>
          </w:p>
        </w:tc>
      </w:tr>
      <w:tr>
        <w:tc>
          <w:tcPr/>
          <w:p>
            <w:pPr>
              <w:pStyle w:val="Compact"/>
              <w:jc w:val="left"/>
            </w:pPr>
            <w:r>
              <w:t xml:space="preserve">Project Location</w:t>
            </w:r>
          </w:p>
        </w:tc>
        <w:tc>
          <w:tcPr/>
          <w:p>
            <w:pPr>
              <w:pStyle w:val="Compact"/>
              <w:jc w:val="left"/>
            </w:pPr>
            <w:r>
              <w:t xml:space="preserve">Client's private residence, Saint Petersburg, Russia</w:t>
            </w:r>
          </w:p>
        </w:tc>
      </w:tr>
      <w:tr>
        <w:tc>
          <w:tcPr/>
          <w:p>
            <w:pPr>
              <w:pStyle w:val="Compact"/>
              <w:jc w:val="left"/>
            </w:pPr>
            <w:r>
              <w:t xml:space="preserve">Service Category</w:t>
            </w:r>
          </w:p>
        </w:tc>
        <w:tc>
          <w:tcPr/>
          <w:p>
            <w:pPr>
              <w:pStyle w:val="Compact"/>
              <w:jc w:val="left"/>
            </w:pPr>
            <w:r>
              <w:t xml:space="preserve">Residential Carpentry &amp; Custom Woodwork</w:t>
            </w:r>
          </w:p>
        </w:tc>
      </w:tr>
      <w:tr>
        <w:tc>
          <w:tcPr/>
          <w:p>
            <w:pPr>
              <w:pStyle w:val="Compact"/>
              <w:jc w:val="left"/>
            </w:pPr>
            <w:r>
              <w:t xml:space="preserve">Currency</w:t>
            </w:r>
          </w:p>
        </w:tc>
        <w:tc>
          <w:tcPr/>
          <w:p>
            <w:pPr>
              <w:pStyle w:val="Compact"/>
              <w:jc w:val="left"/>
            </w:pPr>
            <w:r>
              <w:t xml:space="preserve">Russian Ruble (RUB)</w:t>
            </w:r>
          </w:p>
        </w:tc>
      </w:tr>
    </w:tbl>
    <w:p>
      <w:pPr>
        <w:pStyle w:val="BodyText"/>
      </w:pPr>
      <w:r>
        <w:t xml:space="preserve">1. Scope of Work &amp; Description</w:t>
      </w:r>
    </w:p>
    <w:p>
      <w:pPr>
        <w:pStyle w:val="BodyText"/>
      </w:pPr>
      <w:r>
        <w:t xml:space="preserve">This</w:t>
      </w:r>
      <w:r>
        <w:t xml:space="preserve"> </w:t>
      </w:r>
      <w:r>
        <w:t xml:space="preserve">Quotation Estimate</w:t>
      </w:r>
      <w:r>
        <w:t xml:space="preserve"> </w:t>
      </w:r>
      <w:r>
        <w:t xml:space="preserve">is issued by Petersburg Master Carpentry &amp; Woodworks LLC in connection with the provision of professional</w:t>
      </w:r>
      <w:r>
        <w:t xml:space="preserve"> </w:t>
      </w:r>
      <w:r>
        <w:t xml:space="preserve">Carpenter</w:t>
      </w:r>
      <w:r>
        <w:t xml:space="preserve"> </w:t>
      </w:r>
      <w:r>
        <w:t xml:space="preserve">services at the client's private residential property located in</w:t>
      </w:r>
      <w:r>
        <w:t xml:space="preserve"> </w:t>
      </w:r>
      <w:r>
        <w:t xml:space="preserve">Russia Saint Petersburg</w:t>
      </w:r>
      <w:r>
        <w:t xml:space="preserve">. The scope of work encompasses the design, fabrication, and installation of custom wooden interior elements, including but not limited to built-in wardrobes, a solid oak dining table, hardwood flooring in the main living area, and a custom staircase handrail. All work shall be performed in accordance with the Russian national standards GOST 30241-2017 (wooden flooring) and GOST 24714-2019 (wooden furniture), as well as the local building regulations applicable in Saint Petersburg.</w:t>
      </w:r>
    </w:p>
    <w:p>
      <w:pPr>
        <w:pStyle w:val="BodyText"/>
      </w:pPr>
      <w:r>
        <w:t xml:space="preserve">Our lead</w:t>
      </w:r>
      <w:r>
        <w:t xml:space="preserve"> </w:t>
      </w:r>
      <w:r>
        <w:t xml:space="preserve">Carpenter</w:t>
      </w:r>
      <w:r>
        <w:t xml:space="preserve">, Master Ivan K. Sokolov (18 years of professional experience, certified under the Russian Federation Ministry of Construction standards), will supervise all on-site operations. A team of four additional skilled carpenters and two apprentices will be deployed to the project site in</w:t>
      </w:r>
      <w:r>
        <w:t xml:space="preserve"> </w:t>
      </w:r>
      <w:r>
        <w:t xml:space="preserve">Russia Saint Petersburg</w:t>
      </w:r>
      <w:r>
        <w:t xml:space="preserve"> </w:t>
      </w:r>
      <w:r>
        <w:t xml:space="preserve">during the active construction phase. All timber materials will be sourced from certified Russian and Baltic suppliers and will be acclimatized to the indoor humidity conditions typical of Saint Petersburg for a minimum of 72 hours prior to installation.</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Work / Material</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Custom built-in wardrobe (solid oak, 3.2m x 2.4m), including internal shelving, drawers, and soft-close hardware</w:t>
            </w:r>
          </w:p>
        </w:tc>
        <w:tc>
          <w:tcPr/>
          <w:p>
            <w:pPr>
              <w:pStyle w:val="Compact"/>
              <w:jc w:val="left"/>
            </w:pPr>
            <w:r>
              <w:t xml:space="preserve">Unit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Solid oak dining table (2.4m x 1.1m) with integrated extension mechanism, hand-finished with natural oil</w:t>
            </w:r>
          </w:p>
        </w:tc>
        <w:tc>
          <w:tcPr/>
          <w:p>
            <w:pPr>
              <w:pStyle w:val="Compact"/>
              <w:jc w:val="left"/>
            </w:pPr>
            <w:r>
              <w:t xml:space="preserve">Unit</w:t>
            </w:r>
          </w:p>
        </w:tc>
        <w:tc>
          <w:tcPr/>
          <w:p>
            <w:pPr>
              <w:pStyle w:val="Compact"/>
              <w:jc w:val="left"/>
            </w:pPr>
            <w:r>
              <w:t xml:space="preserve">1</w:t>
            </w:r>
          </w:p>
        </w:tc>
        <w:tc>
          <w:tcPr/>
          <w:p>
            <w:pPr>
              <w:pStyle w:val="Compact"/>
              <w:jc w:val="left"/>
            </w:pPr>
            <w:r>
              <w:t xml:space="preserve">142,000</w:t>
            </w:r>
          </w:p>
        </w:tc>
        <w:tc>
          <w:tcPr/>
          <w:p>
            <w:pPr>
              <w:pStyle w:val="Compact"/>
              <w:jc w:val="left"/>
            </w:pPr>
            <w:r>
              <w:t xml:space="preserve">142,000</w:t>
            </w:r>
          </w:p>
        </w:tc>
      </w:tr>
      <w:tr>
        <w:tc>
          <w:tcPr/>
          <w:p>
            <w:pPr>
              <w:pStyle w:val="Compact"/>
              <w:jc w:val="left"/>
            </w:pPr>
            <w:r>
              <w:t xml:space="preserve">3</w:t>
            </w:r>
          </w:p>
        </w:tc>
        <w:tc>
          <w:tcPr/>
          <w:p>
            <w:pPr>
              <w:pStyle w:val="Compact"/>
              <w:jc w:val="left"/>
            </w:pPr>
            <w:r>
              <w:t xml:space="preserve">Engineered hardwood flooring (European beech, 14mm), supply and installation, including underlayment and baseboards</w:t>
            </w:r>
          </w:p>
        </w:tc>
        <w:tc>
          <w:tcPr/>
          <w:p>
            <w:pPr>
              <w:pStyle w:val="Compact"/>
              <w:jc w:val="left"/>
            </w:pPr>
            <w:r>
              <w:t xml:space="preserve">m²</w:t>
            </w:r>
          </w:p>
        </w:tc>
        <w:tc>
          <w:tcPr/>
          <w:p>
            <w:pPr>
              <w:pStyle w:val="Compact"/>
              <w:jc w:val="left"/>
            </w:pPr>
            <w:r>
              <w:t xml:space="preserve">68</w:t>
            </w:r>
          </w:p>
        </w:tc>
        <w:tc>
          <w:tcPr/>
          <w:p>
            <w:pPr>
              <w:pStyle w:val="Compact"/>
              <w:jc w:val="left"/>
            </w:pPr>
            <w:r>
              <w:t xml:space="preserve">4,850</w:t>
            </w:r>
          </w:p>
        </w:tc>
        <w:tc>
          <w:tcPr/>
          <w:p>
            <w:pPr>
              <w:pStyle w:val="Compact"/>
              <w:jc w:val="left"/>
            </w:pPr>
            <w:r>
              <w:t xml:space="preserve">329,800</w:t>
            </w:r>
          </w:p>
        </w:tc>
      </w:tr>
      <w:tr>
        <w:tc>
          <w:tcPr/>
          <w:p>
            <w:pPr>
              <w:pStyle w:val="Compact"/>
              <w:jc w:val="left"/>
            </w:pPr>
            <w:r>
              <w:t xml:space="preserve">4</w:t>
            </w:r>
          </w:p>
        </w:tc>
        <w:tc>
          <w:tcPr/>
          <w:p>
            <w:pPr>
              <w:pStyle w:val="Compact"/>
              <w:jc w:val="left"/>
            </w:pPr>
            <w:r>
              <w:t xml:space="preserve">Custom staircase handrail and balustrade (solid ash, 14 balusters, newel posts, curved top rail)</w:t>
            </w:r>
          </w:p>
        </w:tc>
        <w:tc>
          <w:tcPr/>
          <w:p>
            <w:pPr>
              <w:pStyle w:val="Compact"/>
              <w:jc w:val="left"/>
            </w:pPr>
            <w:r>
              <w:t xml:space="preserve">Unit</w:t>
            </w:r>
          </w:p>
        </w:tc>
        <w:tc>
          <w:tcPr/>
          <w:p>
            <w:pPr>
              <w:pStyle w:val="Compact"/>
              <w:jc w:val="left"/>
            </w:pPr>
            <w:r>
              <w:t xml:space="preserve">1</w:t>
            </w:r>
          </w:p>
        </w:tc>
        <w:tc>
          <w:tcPr/>
          <w:p>
            <w:pPr>
              <w:pStyle w:val="Compact"/>
              <w:jc w:val="left"/>
            </w:pPr>
            <w:r>
              <w:t xml:space="preserve">96,500</w:t>
            </w:r>
          </w:p>
        </w:tc>
        <w:tc>
          <w:tcPr/>
          <w:p>
            <w:pPr>
              <w:pStyle w:val="Compact"/>
              <w:jc w:val="left"/>
            </w:pPr>
            <w:r>
              <w:t xml:space="preserve">96,500</w:t>
            </w:r>
          </w:p>
        </w:tc>
      </w:tr>
      <w:tr>
        <w:tc>
          <w:tcPr/>
          <w:p>
            <w:pPr>
              <w:pStyle w:val="Compact"/>
              <w:jc w:val="left"/>
            </w:pPr>
            <w:r>
              <w:t xml:space="preserve">5</w:t>
            </w:r>
          </w:p>
        </w:tc>
        <w:tc>
          <w:tcPr/>
          <w:p>
            <w:pPr>
              <w:pStyle w:val="Compact"/>
              <w:jc w:val="left"/>
            </w:pPr>
            <w:r>
              <w:t xml:space="preserve">Skirting boards, door frames (6 units), and window sills (4 units) – solid pine, primed</w:t>
            </w:r>
          </w:p>
        </w:tc>
        <w:tc>
          <w:tcPr/>
          <w:p>
            <w:pPr>
              <w:pStyle w:val="Compact"/>
              <w:jc w:val="left"/>
            </w:pPr>
            <w:r>
              <w:t xml:space="preserve">Lot</w:t>
            </w:r>
          </w:p>
        </w:tc>
        <w:tc>
          <w:tcPr/>
          <w:p>
            <w:pPr>
              <w:pStyle w:val="Compact"/>
              <w:jc w:val="left"/>
            </w:pPr>
            <w:r>
              <w:t xml:space="preserve">1</w:t>
            </w:r>
          </w:p>
        </w:tc>
        <w:tc>
          <w:tcPr/>
          <w:p>
            <w:pPr>
              <w:pStyle w:val="Compact"/>
              <w:jc w:val="left"/>
            </w:pPr>
            <w:r>
              <w:t xml:space="preserve">58,000</w:t>
            </w:r>
          </w:p>
        </w:tc>
        <w:tc>
          <w:tcPr/>
          <w:p>
            <w:pPr>
              <w:pStyle w:val="Compact"/>
              <w:jc w:val="left"/>
            </w:pPr>
            <w:r>
              <w:t xml:space="preserve">58,000</w:t>
            </w:r>
          </w:p>
        </w:tc>
      </w:tr>
      <w:tr>
        <w:tc>
          <w:tcPr/>
          <w:p>
            <w:pPr>
              <w:pStyle w:val="Compact"/>
              <w:jc w:val="left"/>
            </w:pPr>
            <w:r>
              <w:t xml:space="preserve">6</w:t>
            </w:r>
          </w:p>
        </w:tc>
        <w:tc>
          <w:tcPr/>
          <w:p>
            <w:pPr>
              <w:pStyle w:val="Compact"/>
              <w:jc w:val="left"/>
            </w:pPr>
            <w:r>
              <w:t xml:space="preserve">On-site</w:t>
            </w:r>
            <w:r>
              <w:t xml:space="preserve"> </w:t>
            </w:r>
            <w:r>
              <w:t xml:space="preserve">Carpenter</w:t>
            </w:r>
            <w:r>
              <w:t xml:space="preserve"> </w:t>
            </w:r>
            <w:r>
              <w:t xml:space="preserve">labour (lead master + 4 carpenters + 2 apprentices), 22 working days</w:t>
            </w:r>
          </w:p>
        </w:tc>
        <w:tc>
          <w:tcPr/>
          <w:p>
            <w:pPr>
              <w:pStyle w:val="Compact"/>
              <w:jc w:val="left"/>
            </w:pPr>
            <w:r>
              <w:t xml:space="preserve">Day</w:t>
            </w:r>
          </w:p>
        </w:tc>
        <w:tc>
          <w:tcPr/>
          <w:p>
            <w:pPr>
              <w:pStyle w:val="Compact"/>
              <w:jc w:val="left"/>
            </w:pPr>
            <w:r>
              <w:t xml:space="preserve">22</w:t>
            </w:r>
          </w:p>
        </w:tc>
        <w:tc>
          <w:tcPr/>
          <w:p>
            <w:pPr>
              <w:pStyle w:val="Compact"/>
              <w:jc w:val="left"/>
            </w:pPr>
            <w:r>
              <w:t xml:space="preserve">12,400</w:t>
            </w:r>
          </w:p>
        </w:tc>
        <w:tc>
          <w:tcPr/>
          <w:p>
            <w:pPr>
              <w:pStyle w:val="Compact"/>
              <w:jc w:val="left"/>
            </w:pPr>
            <w:r>
              <w:t xml:space="preserve">272,800</w:t>
            </w:r>
          </w:p>
        </w:tc>
      </w:tr>
      <w:tr>
        <w:tc>
          <w:tcPr/>
          <w:p>
            <w:pPr>
              <w:pStyle w:val="Compact"/>
              <w:jc w:val="left"/>
            </w:pPr>
            <w:r>
              <w:t xml:space="preserve">7</w:t>
            </w:r>
          </w:p>
        </w:tc>
        <w:tc>
          <w:tcPr/>
          <w:p>
            <w:pPr>
              <w:pStyle w:val="Compact"/>
              <w:jc w:val="left"/>
            </w:pPr>
            <w:r>
              <w:t xml:space="preserve">Transportation of materials and equipment to site in</w:t>
            </w:r>
            <w:r>
              <w:t xml:space="preserve"> </w:t>
            </w:r>
            <w:r>
              <w:t xml:space="preserve">Russia Saint Petersburg</w:t>
            </w:r>
            <w:r>
              <w:t xml:space="preserve">, including loading/unloading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8</w:t>
            </w:r>
          </w:p>
        </w:tc>
        <w:tc>
          <w:tcPr/>
          <w:p>
            <w:pPr>
              <w:pStyle w:val="Compact"/>
              <w:jc w:val="left"/>
            </w:pPr>
            <w:r>
              <w:t xml:space="preserve">Site preparation, dust extraction, and post-installation cleanup</w:t>
            </w:r>
          </w:p>
        </w:tc>
        <w:tc>
          <w:tcPr/>
          <w:p>
            <w:pPr>
              <w:pStyle w:val="Compact"/>
              <w:jc w:val="left"/>
            </w:pPr>
            <w:r>
              <w:t xml:space="preserve">Lot</w:t>
            </w:r>
          </w:p>
        </w:tc>
        <w:tc>
          <w:tcPr/>
          <w:p>
            <w:pPr>
              <w:pStyle w:val="Compact"/>
              <w:jc w:val="left"/>
            </w:pPr>
            <w:r>
              <w:t xml:space="preserve">1</w:t>
            </w:r>
          </w:p>
        </w:tc>
        <w:tc>
          <w:tcPr/>
          <w:p>
            <w:pPr>
              <w:pStyle w:val="Compact"/>
              <w:jc w:val="left"/>
            </w:pPr>
            <w:r>
              <w:t xml:space="preserve">14,200</w:t>
            </w:r>
          </w:p>
        </w:tc>
        <w:tc>
          <w:tcPr/>
          <w:p>
            <w:pPr>
              <w:pStyle w:val="Compact"/>
              <w:jc w:val="left"/>
            </w:pPr>
            <w:r>
              <w:t xml:space="preserve">14,200</w:t>
            </w:r>
          </w:p>
        </w:tc>
      </w:tr>
      <w:tr>
        <w:tc>
          <w:tcPr/>
          <w:p>
            <w:pPr>
              <w:pStyle w:val="Compact"/>
              <w:jc w:val="left"/>
            </w:pPr>
            <w:r>
              <w:t xml:space="preserve">9</w:t>
            </w:r>
          </w:p>
        </w:tc>
        <w:tc>
          <w:tcPr/>
          <w:p>
            <w:pPr>
              <w:pStyle w:val="Compact"/>
              <w:jc w:val="left"/>
            </w:pPr>
            <w:r>
              <w:t xml:space="preserve">Project management, design drawings, and client consultations (3 sessions)</w:t>
            </w:r>
          </w:p>
        </w:tc>
        <w:tc>
          <w:tcPr/>
          <w:p>
            <w:pPr>
              <w:pStyle w:val="Compact"/>
              <w:jc w:val="left"/>
            </w:pPr>
            <w:r>
              <w:t xml:space="preserve">Lot</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gridSpan w:val="5"/>
          </w:tcPr>
          <w:p>
            <w:pPr>
              <w:pStyle w:val="Compact"/>
              <w:jc w:val="left"/>
            </w:pPr>
            <w:r>
              <w:t xml:space="preserve">Subtotal</w:t>
            </w:r>
          </w:p>
        </w:tc>
        <w:tc>
          <w:tcPr/>
          <w:p>
            <w:pPr>
              <w:pStyle w:val="Compact"/>
              <w:jc w:val="left"/>
            </w:pPr>
            <w:r>
              <w:t xml:space="preserve">1,138,800</w:t>
            </w:r>
          </w:p>
        </w:tc>
      </w:tr>
      <w:tr>
        <w:tc>
          <w:tcPr>
            <w:gridSpan w:val="5"/>
          </w:tcPr>
          <w:p>
            <w:pPr>
              <w:pStyle w:val="Compact"/>
              <w:jc w:val="left"/>
            </w:pPr>
            <w:r>
              <w:t xml:space="preserve">VAT (20%)</w:t>
            </w:r>
          </w:p>
        </w:tc>
        <w:tc>
          <w:tcPr/>
          <w:p>
            <w:pPr>
              <w:pStyle w:val="Compact"/>
              <w:jc w:val="left"/>
            </w:pPr>
            <w:r>
              <w:t xml:space="preserve">227,760</w:t>
            </w:r>
          </w:p>
        </w:tc>
      </w:tr>
      <w:tr>
        <w:tc>
          <w:tcPr>
            <w:gridSpan w:val="5"/>
          </w:tcPr>
          <w:p>
            <w:pPr>
              <w:pStyle w:val="Compact"/>
              <w:jc w:val="left"/>
            </w:pPr>
            <w:r>
              <w:t xml:space="preserve">Grand Total (RUB)</w:t>
            </w:r>
          </w:p>
        </w:tc>
        <w:tc>
          <w:tcPr/>
          <w:p>
            <w:pPr>
              <w:pStyle w:val="Compact"/>
              <w:jc w:val="left"/>
            </w:pPr>
            <w:r>
              <w:t xml:space="preserve">1,366,560</w:t>
            </w:r>
          </w:p>
        </w:tc>
      </w:tr>
    </w:tbl>
    <w:p>
      <w:pPr>
        <w:pStyle w:val="BodyText"/>
      </w:pPr>
      <w:r>
        <w:t xml:space="preserve">3. Project Timeline</w:t>
      </w:r>
    </w:p>
    <w:p>
      <w:pPr>
        <w:pStyle w:val="BodyText"/>
      </w:pPr>
      <w:r>
        <w:t xml:space="preserve">The estimated duration for completion of all</w:t>
      </w:r>
      <w:r>
        <w:t xml:space="preserve"> </w:t>
      </w:r>
      <w:r>
        <w:t xml:space="preserve">Carpenter</w:t>
      </w:r>
      <w:r>
        <w:t xml:space="preserve"> </w:t>
      </w:r>
      <w:r>
        <w:t xml:space="preserve">works at the</w:t>
      </w:r>
      <w:r>
        <w:t xml:space="preserve"> </w:t>
      </w:r>
      <w:r>
        <w:t xml:space="preserve">Russia Saint Petersburg</w:t>
      </w:r>
      <w:r>
        <w:t xml:space="preserve"> </w:t>
      </w:r>
      <w:r>
        <w:t xml:space="preserve">site is 22 working days, commencing on the date of contract execution. The schedule is broken down as follows: Week 1 – site preparation, material delivery, and acclimatization; Week 2 – fabrication of custom elements in our workshop on Nevsky Prospekt and on-site installation of flooring; Week 3 – installation of wardrobes, dining table, staircase handrail, and finishing trim. A final inspection and handover will be conducted on the last working day.</w:t>
      </w:r>
    </w:p>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30 calendar days from the date of issue. Prices are subject to revision upon expiry due to fluctuations in timber material costs in the Saint Petersburg market.</w:t>
      </w:r>
    </w:p>
    <w:p>
      <w:pPr>
        <w:numPr>
          <w:ilvl w:val="0"/>
          <w:numId w:val="1001"/>
        </w:numPr>
        <w:pStyle w:val="Compact"/>
      </w:pPr>
      <w:r>
        <w:t xml:space="preserve">Payment terms: 40% advance payment upon signing the contract, 40% upon completion of flooring and major installations, and 20% upon final acceptance and handover. All payments shall be made in Russian Rubles (RUB) via bank transfer to the company account.</w:t>
      </w:r>
    </w:p>
    <w:p>
      <w:pPr>
        <w:numPr>
          <w:ilvl w:val="0"/>
          <w:numId w:val="1001"/>
        </w:numPr>
        <w:pStyle w:val="Compact"/>
      </w:pPr>
      <w:r>
        <w:t xml:space="preserve">The</w:t>
      </w:r>
      <w:r>
        <w:t xml:space="preserve"> </w:t>
      </w:r>
      <w:r>
        <w:t xml:space="preserve">Carpenter</w:t>
      </w:r>
      <w:r>
        <w:t xml:space="preserve"> </w:t>
      </w:r>
      <w:r>
        <w:t xml:space="preserve">team shall comply with all occupational health and safety regulations of the Russian Federation, including those issued by Rostekhnadzor. The client is responsible for providing safe access to the work area and ensuring that the site is free of structural hazards.</w:t>
      </w:r>
    </w:p>
    <w:p>
      <w:pPr>
        <w:numPr>
          <w:ilvl w:val="0"/>
          <w:numId w:val="1001"/>
        </w:numPr>
        <w:pStyle w:val="Compact"/>
      </w:pPr>
      <w:r>
        <w:t xml:space="preserve">A warranty of 24 months is provided on all workmanship. Material warranties are governed by the respective manufacturers' terms. This warranty is valid only for work performed in</w:t>
      </w:r>
      <w:r>
        <w:t xml:space="preserve"> </w:t>
      </w:r>
      <w:r>
        <w:t xml:space="preserve">Russia Saint Petersburg</w:t>
      </w:r>
      <w:r>
        <w:t xml:space="preserve"> </w:t>
      </w:r>
      <w:r>
        <w:t xml:space="preserve">under normal residential use conditions.</w:t>
      </w:r>
    </w:p>
    <w:p>
      <w:pPr>
        <w:numPr>
          <w:ilvl w:val="0"/>
          <w:numId w:val="1001"/>
        </w:numPr>
        <w:pStyle w:val="Compact"/>
      </w:pPr>
      <w:r>
        <w:t xml:space="preserve">Any changes to the scope of work requested by the client after contract execution shall be documented in a written change order and may result in adjustments to the total cost and project timeline.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signed the formal Service Agreement. The terms herein are indicative and subject to final contractual negotiation.</w:t>
      </w:r>
    </w:p>
    <w:p>
      <w:pPr>
        <w:numPr>
          <w:ilvl w:val="0"/>
          <w:numId w:val="1001"/>
        </w:numPr>
        <w:pStyle w:val="Compact"/>
      </w:pPr>
      <w:r>
        <w:t xml:space="preserve">All disputes arising from this</w:t>
      </w:r>
      <w:r>
        <w:t xml:space="preserve"> </w:t>
      </w:r>
      <w:r>
        <w:t xml:space="preserve">Quotation Estimate</w:t>
      </w:r>
      <w:r>
        <w:t xml:space="preserve"> </w:t>
      </w:r>
      <w:r>
        <w:t xml:space="preserve">or the subsequent contract shall be resolved in accordance with the civil legislation of the Russian Federation and, if necessary, before the Arbitration Court of Saint Petersburg and Leningrad Oblast.</w:t>
      </w:r>
    </w:p>
    <w:p>
      <w:pPr>
        <w:pStyle w:val="FirstParagraph"/>
      </w:pPr>
      <w:r>
        <w:t xml:space="preserve">5. Acceptance and Signatures</w:t>
      </w:r>
    </w:p>
    <w:p>
      <w:pPr>
        <w:pStyle w:val="BodyText"/>
      </w:pPr>
      <w:r>
        <w:t xml:space="preserve">By signing below, the client acknowledges receipt of this</w:t>
      </w:r>
      <w:r>
        <w:t xml:space="preserve"> </w:t>
      </w:r>
      <w:r>
        <w:t xml:space="preserve">Quotation Estimate</w:t>
      </w:r>
      <w:r>
        <w:t xml:space="preserve"> </w:t>
      </w:r>
      <w:r>
        <w:t xml:space="preserve">and agrees to the terms outlined herein. The</w:t>
      </w:r>
      <w:r>
        <w:t xml:space="preserve"> </w:t>
      </w:r>
      <w:r>
        <w:t xml:space="preserve">Carpenter</w:t>
      </w:r>
      <w:r>
        <w:t xml:space="preserve"> </w:t>
      </w:r>
      <w:r>
        <w:t xml:space="preserve">services described will be executed at the specified location in</w:t>
      </w:r>
      <w:r>
        <w:t xml:space="preserve"> </w:t>
      </w:r>
      <w:r>
        <w:t xml:space="preserve">Russia Saint Petersburg</w:t>
      </w:r>
      <w:r>
        <w:t xml:space="preserve"> </w:t>
      </w:r>
      <w:r>
        <w:t xml:space="preserve">in full compliance with the agreed scope, timeline, and quality standards.</w:t>
      </w:r>
    </w:p>
    <w:p>
      <w:pPr>
        <w:pStyle w:val="BodyText"/>
      </w:pPr>
      <w:r>
        <w:rPr>
          <w:bCs/>
          <w:b/>
        </w:rPr>
        <w:t xml:space="preserve">Prepared by (Contractor):</w:t>
      </w:r>
    </w:p>
    <w:p>
      <w:pPr>
        <w:pStyle w:val="BodyText"/>
      </w:pPr>
      <w:r>
        <w:t xml:space="preserve">Master Ivan K. Sokolov</w:t>
      </w:r>
      <w:r>
        <w:br/>
      </w:r>
      <w:r>
        <w:t xml:space="preserve">Lead Carpenter / Project Director</w:t>
      </w:r>
      <w:r>
        <w:br/>
      </w:r>
      <w:r>
        <w:t xml:space="preserve">Petersburg Master Carpentry &amp; Woodworks LLC</w:t>
      </w:r>
      <w:r>
        <w:br/>
      </w:r>
      <w:r>
        <w:t xml:space="preserve">Date: _______________</w:t>
      </w:r>
    </w:p>
    <w:p>
      <w:pPr>
        <w:pStyle w:val="BodyText"/>
      </w:pPr>
      <w:r>
        <w:rPr>
          <w:bCs/>
          <w:b/>
        </w:rPr>
        <w:t xml:space="preserve">Accepted by (Client):</w:t>
      </w:r>
    </w:p>
    <w:p>
      <w:pPr>
        <w:pStyle w:val="BodyText"/>
      </w:pPr>
      <w:r>
        <w:t xml:space="preserve">Mr. Alexander V. Petrov</w:t>
      </w:r>
      <w:r>
        <w:br/>
      </w:r>
      <w:r>
        <w:t xml:space="preserve">Client / Property Owner</w:t>
      </w:r>
      <w:r>
        <w:br/>
      </w:r>
      <w:r>
        <w:t xml:space="preserve">Date: _______________</w:t>
      </w:r>
    </w:p>
    <w:p>
      <w:pPr>
        <w:pStyle w:val="BodyText"/>
      </w:pPr>
      <w:r>
        <w:t xml:space="preserve">Petersburg Master Carpentry &amp; Woodworks LLC | 12 Nevsky Prospekt, Bldg. 4, Office 217, Saint Petersburg, 191025, Russian Federation</w:t>
      </w:r>
    </w:p>
    <w:p>
      <w:pPr>
        <w:pStyle w:val="BodyText"/>
      </w:pPr>
      <w:r>
        <w:t xml:space="preserve">This Quotation Estimate document is generated electronically and is valid without a physical seal. Document Ref: QTE-SPB-2025-0487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Russia Saint Petersburg</dc:title>
  <dc:creator/>
  <dc:language>en</dc:language>
  <cp:keywords/>
  <dcterms:created xsi:type="dcterms:W3CDTF">2026-10-10T04:45:27Z</dcterms:created>
  <dcterms:modified xsi:type="dcterms:W3CDTF">2026-10-10T04:45:27Z</dcterms:modified>
</cp:coreProperties>
</file>

<file path=docProps/custom.xml><?xml version="1.0" encoding="utf-8"?>
<Properties xmlns="http://schemas.openxmlformats.org/officeDocument/2006/custom-properties" xmlns:vt="http://schemas.openxmlformats.org/officeDocument/2006/docPropsVTypes"/>
</file>