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carpenter-services-woodwork-solutions"/>
    <w:p>
      <w:pPr>
        <w:pStyle w:val="Heading2"/>
      </w:pPr>
      <w:r>
        <w:t xml:space="preserve">Carpenter Services &amp; Woodwork Solutions</w:t>
      </w:r>
    </w:p>
    <w:p>
      <w:pPr>
        <w:pStyle w:val="FirstParagraph"/>
      </w:pPr>
      <w:r>
        <w:rPr>
          <w:bCs/>
          <w:b/>
        </w:rPr>
        <w:t xml:space="preserve">Al-Nakheel Carpentry &amp; Woodwork Co., Ltd.</w:t>
      </w:r>
    </w:p>
    <w:p>
      <w:pPr>
        <w:pStyle w:val="BodyText"/>
      </w:pPr>
      <w:r>
        <w:t xml:space="preserve">Office 412, Al-Olaya Commercial Tower, King Fahd Road,</w:t>
      </w:r>
      <w:r>
        <w:t xml:space="preserve"> </w:t>
      </w:r>
      <w:r>
        <w:t xml:space="preserve">Saudi Arabia Riyadh</w:t>
      </w:r>
      <w:r>
        <w:t xml:space="preserve">, 12211</w:t>
      </w:r>
    </w:p>
    <w:p>
      <w:pPr>
        <w:pStyle w:val="BodyText"/>
      </w:pPr>
      <w:r>
        <w:t xml:space="preserve">CR No. 1010456789 | VAT No. 310123456700003 | Tel: +966 11 456 7890 | Email: quotes@alnakheel-carpentry.sa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QE-2025-RYD-00472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 (Client):</w:t>
            </w:r>
          </w:p>
        </w:tc>
        <w:tc>
          <w:tcPr/>
          <w:p>
            <w:pPr>
              <w:pStyle w:val="Compact"/>
              <w:jc w:val="left"/>
            </w:pPr>
            <w:r>
              <w:t xml:space="preserve">Mr. Khalid Al-Rashid – Al-Rashid Family Residence, Al-Narjis District,</w:t>
            </w:r>
            <w:r>
              <w:t xml:space="preserve"> </w:t>
            </w:r>
            <w:r>
              <w:t xml:space="preserve">Saudi Arabia Riyadh</w:t>
            </w:r>
          </w:p>
        </w:tc>
      </w:tr>
      <w:tr>
        <w:tc>
          <w:tcPr/>
          <w:p>
            <w:pPr>
              <w:pStyle w:val="Compact"/>
              <w:jc w:val="left"/>
            </w:pPr>
            <w:r>
              <w:t xml:space="preserve">Project Location:</w:t>
            </w:r>
          </w:p>
        </w:tc>
        <w:tc>
          <w:tcPr/>
          <w:p>
            <w:pPr>
              <w:pStyle w:val="Compact"/>
              <w:jc w:val="left"/>
            </w:pPr>
            <w:r>
              <w:t xml:space="preserve">Al-Narjis,</w:t>
            </w:r>
            <w:r>
              <w:t xml:space="preserve"> </w:t>
            </w:r>
            <w:r>
              <w:t xml:space="preserve">Saudi Arabia Riyadh</w:t>
            </w:r>
            <w:r>
              <w:t xml:space="preserve">, 13321</w:t>
            </w:r>
          </w:p>
        </w:tc>
      </w:tr>
      <w:tr>
        <w:tc>
          <w:tcPr/>
          <w:p>
            <w:pPr>
              <w:pStyle w:val="Compact"/>
              <w:jc w:val="left"/>
            </w:pPr>
            <w:r>
              <w:t xml:space="preserve">Project Reference:</w:t>
            </w:r>
          </w:p>
        </w:tc>
        <w:tc>
          <w:tcPr/>
          <w:p>
            <w:pPr>
              <w:pStyle w:val="Compact"/>
              <w:jc w:val="left"/>
            </w:pPr>
            <w:r>
              <w:t xml:space="preserve">Full Interior Carpentry &amp; Custom Woodwork – Residential Villa (450 sqm)</w:t>
            </w:r>
          </w:p>
        </w:tc>
      </w:tr>
      <w:tr>
        <w:tc>
          <w:tcPr/>
          <w:p>
            <w:pPr>
              <w:pStyle w:val="Compact"/>
              <w:jc w:val="left"/>
            </w:pPr>
            <w:r>
              <w:t xml:space="preserve">Prepared By:</w:t>
            </w:r>
          </w:p>
        </w:tc>
        <w:tc>
          <w:tcPr/>
          <w:p>
            <w:pPr>
              <w:pStyle w:val="Compact"/>
              <w:jc w:val="left"/>
            </w:pPr>
            <w:r>
              <w:t xml:space="preserve">Eng. Faisal Al-Harbi – Senior Carpenter &amp; Project Supervisor</w:t>
            </w:r>
          </w:p>
        </w:tc>
      </w:tr>
    </w:tbl>
    <w:bookmarkStart w:id="22" w:name="scope-of-work-carpenter-services"/>
    <w:p>
      <w:pPr>
        <w:pStyle w:val="Heading3"/>
      </w:pPr>
      <w:r>
        <w:t xml:space="preserve">1. Scope of Work – Carpenter Services</w:t>
      </w:r>
    </w:p>
    <w:p>
      <w:pPr>
        <w:pStyle w:val="FirstParagraph"/>
      </w:pPr>
      <w:r>
        <w:t xml:space="preserve">This</w:t>
      </w:r>
      <w:r>
        <w:t xml:space="preserve"> </w:t>
      </w:r>
      <w:r>
        <w:t xml:space="preserve">Quotation Estimate</w:t>
      </w:r>
      <w:r>
        <w:t xml:space="preserve"> </w:t>
      </w:r>
      <w:r>
        <w:t xml:space="preserve">is issued by Al-Nakheel Carpentry &amp; Woodwork Co., Ltd. to provide a comprehensive breakdown of all</w:t>
      </w:r>
      <w:r>
        <w:t xml:space="preserve"> </w:t>
      </w:r>
      <w:r>
        <w:t xml:space="preserve">Carpenter</w:t>
      </w:r>
      <w:r>
        <w:t xml:space="preserve"> </w:t>
      </w:r>
      <w:r>
        <w:t xml:space="preserve">services, materials, and labor required for the complete interior woodwork of the client's residential villa located in</w:t>
      </w:r>
      <w:r>
        <w:t xml:space="preserve"> </w:t>
      </w:r>
      <w:r>
        <w:t xml:space="preserve">Saudi Arabia Riyadh</w:t>
      </w:r>
      <w:r>
        <w:t xml:space="preserve">. The scope encompasses custom cabinetry, built-in wardrobes, decorative paneling, flooring, and all associated finishing works. All work shall be executed in strict compliance with the Saudi Building Code (SBC) and the regulations set forth by the Riyadh Municipality and the Saudi Standards, Metrology and Quality Organization (SASO).</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Custom built-in wardrobe (oak veneer, soft-close hardware, LED strip lighting) – Master Bedroom</w:t>
            </w:r>
          </w:p>
        </w:tc>
        <w:tc>
          <w:tcPr/>
          <w:p>
            <w:pPr>
              <w:pStyle w:val="Compact"/>
              <w:jc w:val="left"/>
            </w:pPr>
            <w:r>
              <w:t xml:space="preserve">Set</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Custom built-in wardrobe (MDF with walnut finish) – Secondary Bedrooms</w:t>
            </w:r>
          </w:p>
        </w:tc>
        <w:tc>
          <w:tcPr/>
          <w:p>
            <w:pPr>
              <w:pStyle w:val="Compact"/>
              <w:jc w:val="left"/>
            </w:pPr>
            <w:r>
              <w:t xml:space="preserve">Set</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Kitchen cabinetry (moisture-resistant MDF, granite countertop, stainless-steel handles)</w:t>
            </w:r>
          </w:p>
        </w:tc>
        <w:tc>
          <w:tcPr/>
          <w:p>
            <w:pPr>
              <w:pStyle w:val="Compact"/>
              <w:jc w:val="left"/>
            </w:pPr>
            <w:r>
              <w:t xml:space="preserve">Linear m</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4</w:t>
            </w:r>
          </w:p>
        </w:tc>
        <w:tc>
          <w:tcPr/>
          <w:p>
            <w:pPr>
              <w:pStyle w:val="Compact"/>
              <w:jc w:val="left"/>
            </w:pPr>
            <w:r>
              <w:t xml:space="preserve">Decorative wall paneling (solid teak, hand-carved geometric patterns per Saudi architectural style)</w:t>
            </w:r>
          </w:p>
        </w:tc>
        <w:tc>
          <w:tcPr/>
          <w:p>
            <w:pPr>
              <w:pStyle w:val="Compact"/>
              <w:jc w:val="left"/>
            </w:pPr>
            <w:r>
              <w:t xml:space="preserve">Sqm</w:t>
            </w:r>
          </w:p>
        </w:tc>
        <w:tc>
          <w:tcPr/>
          <w:p>
            <w:pPr>
              <w:pStyle w:val="Compact"/>
              <w:jc w:val="left"/>
            </w:pPr>
            <w:r>
              <w:t xml:space="preserve">85</w:t>
            </w:r>
          </w:p>
        </w:tc>
        <w:tc>
          <w:tcPr/>
          <w:p>
            <w:pPr>
              <w:pStyle w:val="Compact"/>
              <w:jc w:val="left"/>
            </w:pPr>
            <w:r>
              <w:t xml:space="preserve">650.00</w:t>
            </w:r>
          </w:p>
        </w:tc>
        <w:tc>
          <w:tcPr/>
          <w:p>
            <w:pPr>
              <w:pStyle w:val="Compact"/>
              <w:jc w:val="left"/>
            </w:pPr>
            <w:r>
              <w:t xml:space="preserve">55,250.00</w:t>
            </w:r>
          </w:p>
        </w:tc>
      </w:tr>
      <w:tr>
        <w:tc>
          <w:tcPr/>
          <w:p>
            <w:pPr>
              <w:pStyle w:val="Compact"/>
              <w:jc w:val="left"/>
            </w:pPr>
            <w:r>
              <w:t xml:space="preserve">5</w:t>
            </w:r>
          </w:p>
        </w:tc>
        <w:tc>
          <w:tcPr/>
          <w:p>
            <w:pPr>
              <w:pStyle w:val="Compact"/>
              <w:jc w:val="left"/>
            </w:pPr>
            <w:r>
              <w:t xml:space="preserve">Engineered hardwood flooring (oak, 15mm, pre-finished, including underlayment)</w:t>
            </w:r>
          </w:p>
        </w:tc>
        <w:tc>
          <w:tcPr/>
          <w:p>
            <w:pPr>
              <w:pStyle w:val="Compact"/>
              <w:jc w:val="left"/>
            </w:pPr>
            <w:r>
              <w:t xml:space="preserve">Sqm</w:t>
            </w:r>
          </w:p>
        </w:tc>
        <w:tc>
          <w:tcPr/>
          <w:p>
            <w:pPr>
              <w:pStyle w:val="Compact"/>
              <w:jc w:val="left"/>
            </w:pPr>
            <w:r>
              <w:t xml:space="preserve">320</w:t>
            </w:r>
          </w:p>
        </w:tc>
        <w:tc>
          <w:tcPr/>
          <w:p>
            <w:pPr>
              <w:pStyle w:val="Compact"/>
              <w:jc w:val="left"/>
            </w:pPr>
            <w:r>
              <w:t xml:space="preserve">285.00</w:t>
            </w:r>
          </w:p>
        </w:tc>
        <w:tc>
          <w:tcPr/>
          <w:p>
            <w:pPr>
              <w:pStyle w:val="Compact"/>
              <w:jc w:val="left"/>
            </w:pPr>
            <w:r>
              <w:t xml:space="preserve">91,200.00</w:t>
            </w:r>
          </w:p>
        </w:tc>
      </w:tr>
      <w:tr>
        <w:tc>
          <w:tcPr/>
          <w:p>
            <w:pPr>
              <w:pStyle w:val="Compact"/>
              <w:jc w:val="left"/>
            </w:pPr>
            <w:r>
              <w:t xml:space="preserve">6</w:t>
            </w:r>
          </w:p>
        </w:tc>
        <w:tc>
          <w:tcPr/>
          <w:p>
            <w:pPr>
              <w:pStyle w:val="Compact"/>
              <w:jc w:val="left"/>
            </w:pPr>
            <w:r>
              <w:t xml:space="preserve">Custom TV unit &amp; media console (solid walnut, integrated cable management)</w:t>
            </w:r>
          </w:p>
        </w:tc>
        <w:tc>
          <w:tcPr/>
          <w:p>
            <w:pPr>
              <w:pStyle w:val="Compact"/>
              <w:jc w:val="left"/>
            </w:pPr>
            <w:r>
              <w:t xml:space="preserve">Set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Entryway shoe cabinet &amp; coat rack (solid mahogany, brass fittings)</w:t>
            </w:r>
          </w:p>
        </w:tc>
        <w:tc>
          <w:tcPr/>
          <w:p>
            <w:pPr>
              <w:pStyle w:val="Compact"/>
              <w:jc w:val="left"/>
            </w:pPr>
            <w:r>
              <w:t xml:space="preserve">Set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8</w:t>
            </w:r>
          </w:p>
        </w:tc>
        <w:tc>
          <w:tcPr/>
          <w:p>
            <w:pPr>
              <w:pStyle w:val="Compact"/>
              <w:jc w:val="left"/>
            </w:pPr>
            <w:r>
              <w:t xml:space="preserve">Staircase handrail &amp; balustrade (solid oak, custom turned balusters)</w:t>
            </w:r>
          </w:p>
        </w:tc>
        <w:tc>
          <w:tcPr/>
          <w:p>
            <w:pPr>
              <w:pStyle w:val="Compact"/>
              <w:jc w:val="left"/>
            </w:pPr>
            <w:r>
              <w:t xml:space="preserve">Linear m</w:t>
            </w:r>
          </w:p>
        </w:tc>
        <w:tc>
          <w:tcPr/>
          <w:p>
            <w:pPr>
              <w:pStyle w:val="Compact"/>
              <w:jc w:val="left"/>
            </w:pPr>
            <w:r>
              <w:t xml:space="preserve">18</w:t>
            </w:r>
          </w:p>
        </w:tc>
        <w:tc>
          <w:tcPr/>
          <w:p>
            <w:pPr>
              <w:pStyle w:val="Compact"/>
              <w:jc w:val="left"/>
            </w:pPr>
            <w:r>
              <w:t xml:space="preserve">1,450.00</w:t>
            </w:r>
          </w:p>
        </w:tc>
        <w:tc>
          <w:tcPr/>
          <w:p>
            <w:pPr>
              <w:pStyle w:val="Compact"/>
              <w:jc w:val="left"/>
            </w:pPr>
            <w:r>
              <w:t xml:space="preserve">26,100.00</w:t>
            </w:r>
          </w:p>
        </w:tc>
      </w:tr>
      <w:tr>
        <w:tc>
          <w:tcPr/>
          <w:p>
            <w:pPr>
              <w:pStyle w:val="Compact"/>
              <w:jc w:val="left"/>
            </w:pPr>
            <w:r>
              <w:t xml:space="preserve">9</w:t>
            </w:r>
          </w:p>
        </w:tc>
        <w:tc>
          <w:tcPr/>
          <w:p>
            <w:pPr>
              <w:pStyle w:val="Compact"/>
              <w:jc w:val="left"/>
            </w:pPr>
            <w:r>
              <w:t xml:space="preserve">Interior door frames &amp; trim (solid pine, painted finish) – all rooms</w:t>
            </w:r>
          </w:p>
        </w:tc>
        <w:tc>
          <w:tcPr/>
          <w:p>
            <w:pPr>
              <w:pStyle w:val="Compact"/>
              <w:jc w:val="left"/>
            </w:pPr>
            <w:r>
              <w:t xml:space="preserve">Set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10</w:t>
            </w:r>
          </w:p>
        </w:tc>
        <w:tc>
          <w:tcPr/>
          <w:p>
            <w:pPr>
              <w:pStyle w:val="Compact"/>
              <w:jc w:val="left"/>
            </w:pPr>
            <w:r>
              <w:t xml:space="preserve">Ceiling cove molding &amp; crown molding (polystyrene, painted)</w:t>
            </w:r>
          </w:p>
        </w:tc>
        <w:tc>
          <w:tcPr/>
          <w:p>
            <w:pPr>
              <w:pStyle w:val="Compact"/>
              <w:jc w:val="left"/>
            </w:pPr>
            <w:r>
              <w:t xml:space="preserve">Linear m</w:t>
            </w:r>
          </w:p>
        </w:tc>
        <w:tc>
          <w:tcPr/>
          <w:p>
            <w:pPr>
              <w:pStyle w:val="Compact"/>
              <w:jc w:val="left"/>
            </w:pPr>
            <w:r>
              <w:t xml:space="preserve">210</w:t>
            </w:r>
          </w:p>
        </w:tc>
        <w:tc>
          <w:tcPr/>
          <w:p>
            <w:pPr>
              <w:pStyle w:val="Compact"/>
              <w:jc w:val="left"/>
            </w:pPr>
            <w:r>
              <w:t xml:space="preserve">95.00</w:t>
            </w:r>
          </w:p>
        </w:tc>
        <w:tc>
          <w:tcPr/>
          <w:p>
            <w:pPr>
              <w:pStyle w:val="Compact"/>
              <w:jc w:val="left"/>
            </w:pPr>
            <w:r>
              <w:t xml:space="preserve">19,950.00</w:t>
            </w:r>
          </w:p>
        </w:tc>
      </w:tr>
      <w:tr>
        <w:tc>
          <w:tcPr/>
          <w:p>
            <w:pPr>
              <w:pStyle w:val="Compact"/>
              <w:jc w:val="left"/>
            </w:pPr>
            <w:r>
              <w:t xml:space="preserve">11</w:t>
            </w:r>
          </w:p>
        </w:tc>
        <w:tc>
          <w:tcPr/>
          <w:p>
            <w:pPr>
              <w:pStyle w:val="Compact"/>
              <w:jc w:val="left"/>
            </w:pPr>
            <w:r>
              <w:t xml:space="preserve">Site preparation, material delivery to</w:t>
            </w:r>
            <w:r>
              <w:t xml:space="preserve"> </w:t>
            </w:r>
            <w:r>
              <w:t xml:space="preserve">Saudi Arabia Riyadh</w:t>
            </w:r>
            <w:r>
              <w:t xml:space="preserve"> </w:t>
            </w:r>
            <w:r>
              <w:t xml:space="preserve">site, and waste disposal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12</w:t>
            </w:r>
          </w:p>
        </w:tc>
        <w:tc>
          <w:tcPr/>
          <w:p>
            <w:pPr>
              <w:pStyle w:val="Compact"/>
              <w:jc w:val="left"/>
            </w:pPr>
            <w:r>
              <w:t xml:space="preserve">Final sanding, staining, and polyurethane sealing (3 coats) on all woodwork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(SAR):</w:t>
            </w:r>
          </w:p>
        </w:tc>
        <w:tc>
          <w:tcPr/>
          <w:p>
            <w:pPr>
              <w:pStyle w:val="Compact"/>
              <w:jc w:val="left"/>
            </w:pPr>
            <w:r>
              <w:t xml:space="preserve">381,300.00</w:t>
            </w:r>
          </w:p>
        </w:tc>
      </w:tr>
      <w:tr>
        <w:tc>
          <w:tcPr>
            <w:gridSpan w:val="5"/>
          </w:tcPr>
          <w:p>
            <w:pPr>
              <w:pStyle w:val="Compact"/>
              <w:jc w:val="right"/>
            </w:pPr>
            <w:r>
              <w:t xml:space="preserve">VAT @ 15% (SAR):</w:t>
            </w:r>
          </w:p>
        </w:tc>
        <w:tc>
          <w:tcPr/>
          <w:p>
            <w:pPr>
              <w:pStyle w:val="Compact"/>
              <w:jc w:val="left"/>
            </w:pPr>
            <w:r>
              <w:t xml:space="preserve">57,195.00</w:t>
            </w:r>
          </w:p>
        </w:tc>
      </w:tr>
      <w:tr>
        <w:tc>
          <w:tcPr>
            <w:gridSpan w:val="5"/>
          </w:tcPr>
          <w:p>
            <w:pPr>
              <w:pStyle w:val="Compact"/>
              <w:jc w:val="right"/>
            </w:pPr>
            <w:r>
              <w:t xml:space="preserve">GRAND TOTAL (SAR):</w:t>
            </w:r>
          </w:p>
        </w:tc>
        <w:tc>
          <w:tcPr/>
          <w:p>
            <w:pPr>
              <w:pStyle w:val="Compact"/>
              <w:jc w:val="left"/>
            </w:pPr>
            <w:r>
              <w:t xml:space="preserve">438,495.00</w:t>
            </w:r>
          </w:p>
        </w:tc>
      </w:tr>
    </w:tbl>
    <w:bookmarkEnd w:id="23"/>
    <w:bookmarkStart w:id="24" w:name="project-timeline"/>
    <w:p>
      <w:pPr>
        <w:pStyle w:val="Heading3"/>
      </w:pPr>
      <w:r>
        <w:t xml:space="preserve">3. Project Timeline</w:t>
      </w:r>
    </w:p>
    <w:p>
      <w:pPr>
        <w:pStyle w:val="FirstParagraph"/>
      </w:pPr>
      <w:r>
        <w:t xml:space="preserve">The estimated duration for completion of all</w:t>
      </w:r>
      <w:r>
        <w:t xml:space="preserve"> </w:t>
      </w:r>
      <w:r>
        <w:t xml:space="preserve">Carpenter</w:t>
      </w:r>
      <w:r>
        <w:t xml:space="preserve"> </w:t>
      </w:r>
      <w:r>
        <w:t xml:space="preserve">works is</w:t>
      </w:r>
      <w:r>
        <w:t xml:space="preserve"> </w:t>
      </w:r>
      <w:r>
        <w:rPr>
          <w:bCs/>
          <w:b/>
        </w:rPr>
        <w:t xml:space="preserve">12 weeks</w:t>
      </w:r>
      <w:r>
        <w:t xml:space="preserve"> </w:t>
      </w:r>
      <w:r>
        <w:t xml:space="preserve">from the date of contract signing and receipt of the initial mobilization payment. The schedule is structured as follows: Weeks 1–2 for site preparation and material procurement; Weeks 3–8 for fabrication and installation of all cabinetry, paneling, and flooring; Weeks 9–11 for finishing, staining, and sealing; and Week 12 for final inspection, punch-list corrections, and handover. All milestones are subject to approval by the client's representative on site in</w:t>
      </w:r>
      <w:r>
        <w:t xml:space="preserve"> </w:t>
      </w:r>
      <w:r>
        <w:t xml:space="preserve">Saudi Arabia Riyadh</w:t>
      </w:r>
      <w:r>
        <w:t xml:space="preserve">.</w:t>
      </w:r>
    </w:p>
    <w:bookmarkEnd w:id="24"/>
    <w:bookmarkStart w:id="25" w:name="terms-and-conditions"/>
    <w:p>
      <w:pPr>
        <w:pStyle w:val="Heading3"/>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raw material costs in the</w:t>
      </w:r>
      <w:r>
        <w:t xml:space="preserve"> </w:t>
      </w:r>
      <w:r>
        <w:t xml:space="preserve">Saudi Arabia Riyadh</w:t>
      </w:r>
      <w:r>
        <w:t xml:space="preserve"> </w:t>
      </w:r>
      <w:r>
        <w:t xml:space="preserve">market.</w:t>
      </w:r>
    </w:p>
    <w:p>
      <w:pPr>
        <w:numPr>
          <w:ilvl w:val="0"/>
          <w:numId w:val="1001"/>
        </w:numPr>
        <w:pStyle w:val="Compact"/>
      </w:pPr>
      <w:r>
        <w:t xml:space="preserve">Payment terms: 30% advance payment upon signing the contract; 40% upon completion of 60% of the work; 25% upon substantial completion; 5% upon final acceptance and handover. All payments shall be made via bank transfer to the company account in Saudi Riyal (SAR).</w:t>
      </w:r>
    </w:p>
    <w:p>
      <w:pPr>
        <w:numPr>
          <w:ilvl w:val="0"/>
          <w:numId w:val="1001"/>
        </w:numPr>
        <w:pStyle w:val="Compact"/>
      </w:pPr>
      <w:r>
        <w:t xml:space="preserve">All materials specified in this</w:t>
      </w:r>
      <w:r>
        <w:t xml:space="preserve"> </w:t>
      </w:r>
      <w:r>
        <w:t xml:space="preserve">Quotation Estimate</w:t>
      </w:r>
      <w:r>
        <w:t xml:space="preserve"> </w:t>
      </w:r>
      <w:r>
        <w:t xml:space="preserve">are of premium grade and sourced from certified suppliers. The</w:t>
      </w:r>
      <w:r>
        <w:t xml:space="preserve"> </w:t>
      </w:r>
      <w:r>
        <w:t xml:space="preserve">Carpenter</w:t>
      </w:r>
      <w:r>
        <w:t xml:space="preserve"> </w:t>
      </w:r>
      <w:r>
        <w:t xml:space="preserve">team shall provide material data sheets and SASO compliance certificates upon request.</w:t>
      </w:r>
    </w:p>
    <w:p>
      <w:pPr>
        <w:numPr>
          <w:ilvl w:val="0"/>
          <w:numId w:val="1001"/>
        </w:numPr>
        <w:pStyle w:val="Compact"/>
      </w:pPr>
      <w:r>
        <w:t xml:space="preserve">The client is responsible for providing uninterrupted access to the site, including electrical power and water, during the project duration. Any delays caused by the client or third parties shall extend the project timeline accordingly.</w:t>
      </w:r>
    </w:p>
    <w:p>
      <w:pPr>
        <w:numPr>
          <w:ilvl w:val="0"/>
          <w:numId w:val="1001"/>
        </w:numPr>
        <w:pStyle w:val="Compact"/>
      </w:pPr>
      <w:r>
        <w:t xml:space="preserve">A workmanship warranty of twenty-four (24) months is provided on all</w:t>
      </w:r>
      <w:r>
        <w:t xml:space="preserve"> </w:t>
      </w:r>
      <w:r>
        <w:t xml:space="preserve">Carpenter</w:t>
      </w:r>
      <w:r>
        <w:t xml:space="preserve"> </w:t>
      </w:r>
      <w:r>
        <w:t xml:space="preserve">installations. This warranty covers defects in workmanship and materials but does not cover damage caused by misuse, water damage, or unauthorized modifications.</w:t>
      </w:r>
    </w:p>
    <w:p>
      <w:pPr>
        <w:numPr>
          <w:ilvl w:val="0"/>
          <w:numId w:val="1001"/>
        </w:numPr>
        <w:pStyle w:val="Compact"/>
      </w:pPr>
      <w:r>
        <w:t xml:space="preserve">All work shall be performed in accordance with the Saudi Building Code, local</w:t>
      </w:r>
      <w:r>
        <w:t xml:space="preserve"> </w:t>
      </w:r>
      <w:r>
        <w:t xml:space="preserve">Saudi Arabia Riyadh</w:t>
      </w:r>
      <w:r>
        <w:t xml:space="preserve"> </w:t>
      </w:r>
      <w:r>
        <w:t xml:space="preserve">municipal regulations, and applicable occupational health and safety standards issued by the Ministry of Human Resources and Social Development.</w:t>
      </w:r>
    </w:p>
    <w:p>
      <w:pPr>
        <w:numPr>
          <w:ilvl w:val="0"/>
          <w:numId w:val="1001"/>
        </w:numPr>
        <w:pStyle w:val="Compact"/>
      </w:pPr>
      <w:r>
        <w:t xml:space="preserve">Any changes or additions to the scope of work must be documented in a written Change Order signed by both parties before execution. Additional costs will be quoted separately.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3"/>
      </w:pPr>
      <w:r>
        <w:t xml:space="preserve">5. Acceptance and Authorization</w:t>
      </w:r>
    </w:p>
    <w:p>
      <w:pPr>
        <w:pStyle w:val="FirstParagraph"/>
      </w:pPr>
      <w:r>
        <w:rPr>
          <w:bCs/>
          <w:b/>
        </w:rPr>
        <w:t xml:space="preserve">For Al-Nakheel Carpentry &amp; Woodwork Co., Ltd.</w:t>
      </w:r>
      <w:r>
        <w:br/>
      </w:r>
      <w:r>
        <w:t xml:space="preserve">Name: Eng. Faisal Al-Harbi</w:t>
      </w:r>
      <w:r>
        <w:br/>
      </w:r>
      <w:r>
        <w:t xml:space="preserve">Title: Senior Carpenter &amp; Project Supervisor</w:t>
      </w:r>
      <w:r>
        <w:br/>
      </w:r>
      <w:r>
        <w:t xml:space="preserve">Date: _______________</w:t>
      </w:r>
    </w:p>
    <w:p>
      <w:pPr>
        <w:pStyle w:val="BodyText"/>
      </w:pPr>
      <w:r>
        <w:rPr>
          <w:bCs/>
          <w:b/>
        </w:rPr>
        <w:t xml:space="preserve">For the Client</w:t>
      </w:r>
      <w:r>
        <w:br/>
      </w:r>
      <w:r>
        <w:t xml:space="preserve">Name: Mr. Khalid Al-Rashid</w:t>
      </w:r>
      <w:r>
        <w:br/>
      </w:r>
      <w:r>
        <w:t xml:space="preserve">Title: Property Owner</w:t>
      </w:r>
      <w:r>
        <w:br/>
      </w:r>
      <w:r>
        <w:t xml:space="preserve">Date: _______________</w:t>
      </w:r>
    </w:p>
    <w:p>
      <w:pPr>
        <w:pStyle w:val="BodyText"/>
      </w:pPr>
      <w:r>
        <w:t xml:space="preserve">This Quotation Estimate was prepared exclusively for the client named above and is not transferable. All prices are in Saudi Riyal (SAR) and inclusive of all applicable taxes unless otherwise stated. Al-Nakheel Carpentry &amp; Woodwork Co., Ltd. –</w:t>
      </w:r>
      <w:r>
        <w:t xml:space="preserve"> </w:t>
      </w:r>
      <w:r>
        <w:t xml:space="preserve">Saudi Arabia Riyadh</w:t>
      </w:r>
      <w:r>
        <w:t xml:space="preserve">.</w:t>
      </w:r>
    </w:p>
    <w:p>
      <w:pPr>
        <w:pStyle w:val="BodyText"/>
      </w:pPr>
      <w:r>
        <w:t xml:space="preserve">Page 1 of 1 | Document Ref: QE-2025-RYD-00472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Saudi Arabia Riyadh</dc:title>
  <dc:creator/>
  <dc:language>en</dc:language>
  <cp:keywords/>
  <dcterms:created xsi:type="dcterms:W3CDTF">2026-10-10T04:30:39Z</dcterms:created>
  <dcterms:modified xsi:type="dcterms:W3CDTF">2026-10-10T04:30:39Z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