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Carpenter Services — Turkey Istanbul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QTE-IST-2025-04782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Mehmet Yılmaz, Master Carpenter &amp; Workshop Director</w:t>
            </w:r>
          </w:p>
        </w:tc>
      </w:tr>
      <w:tr>
        <w:tc>
          <w:tcPr/>
          <w:p>
            <w:pPr>
              <w:pStyle w:val="Compact"/>
              <w:jc w:val="left"/>
            </w:pPr>
            <w:r>
              <w:t xml:space="preserve">Company:</w:t>
            </w:r>
          </w:p>
        </w:tc>
        <w:tc>
          <w:tcPr/>
          <w:p>
            <w:pPr>
              <w:pStyle w:val="Compact"/>
              <w:jc w:val="left"/>
            </w:pPr>
            <w:r>
              <w:t xml:space="preserve">Boğaz Carpentry &amp; Woodworks Ltd. — Kadıköy, Turkey Istanbul</w:t>
            </w:r>
          </w:p>
        </w:tc>
      </w:tr>
      <w:tr>
        <w:tc>
          <w:tcPr/>
          <w:p>
            <w:pPr>
              <w:pStyle w:val="Compact"/>
              <w:jc w:val="left"/>
            </w:pPr>
            <w:r>
              <w:t xml:space="preserve">Client Name:</w:t>
            </w:r>
          </w:p>
        </w:tc>
        <w:tc>
          <w:tcPr/>
          <w:p>
            <w:pPr>
              <w:pStyle w:val="Compact"/>
              <w:jc w:val="left"/>
            </w:pPr>
            <w:r>
              <w:t xml:space="preserve">Mr. James A. Whitfield</w:t>
            </w:r>
          </w:p>
        </w:tc>
      </w:tr>
      <w:tr>
        <w:tc>
          <w:tcPr/>
          <w:p>
            <w:pPr>
              <w:pStyle w:val="Compact"/>
              <w:jc w:val="left"/>
            </w:pPr>
            <w:r>
              <w:t xml:space="preserve">Client Address:</w:t>
            </w:r>
          </w:p>
        </w:tc>
        <w:tc>
          <w:tcPr/>
          <w:p>
            <w:pPr>
              <w:pStyle w:val="Compact"/>
              <w:jc w:val="left"/>
            </w:pPr>
            <w:r>
              <w:t xml:space="preserve">12, Nişantaşı Caddesi, Şişli, Turkey Istanbul 34360</w:t>
            </w:r>
          </w:p>
        </w:tc>
      </w:tr>
      <w:tr>
        <w:tc>
          <w:tcPr/>
          <w:p>
            <w:pPr>
              <w:pStyle w:val="Compact"/>
              <w:jc w:val="left"/>
            </w:pPr>
            <w:r>
              <w:t xml:space="preserve">Project Location:</w:t>
            </w:r>
          </w:p>
        </w:tc>
        <w:tc>
          <w:tcPr/>
          <w:p>
            <w:pPr>
              <w:pStyle w:val="Compact"/>
              <w:jc w:val="left"/>
            </w:pPr>
            <w:r>
              <w:t xml:space="preserve">Residential Villa, Bebek District, Turkey Istanbul</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Boğaz Carpentry &amp; Woodworks Ltd. to provide Mr. James A. Whitfield with a comprehensive, itemized breakdown of all costs associated with the engagement of a licensed</w:t>
      </w:r>
      <w:r>
        <w:t xml:space="preserve"> </w:t>
      </w:r>
      <w:r>
        <w:t xml:space="preserve">Carpenter</w:t>
      </w:r>
      <w:r>
        <w:t xml:space="preserve"> </w:t>
      </w:r>
      <w:r>
        <w:t xml:space="preserve">and supporting workshop team for the design, fabrication, and on-site installation of custom wooden furnishings and structural elements at the client's residential property in</w:t>
      </w:r>
      <w:r>
        <w:t xml:space="preserve"> </w:t>
      </w:r>
      <w:r>
        <w:t xml:space="preserve">Turkey Istanbul</w:t>
      </w:r>
      <w:r>
        <w:t xml:space="preserve">. This document serves as a formal, non-binding estimate and does not constitute a final contract until both parties have executed the accompanying Service Agreement.</w:t>
      </w:r>
    </w:p>
    <w:bookmarkEnd w:id="21"/>
    <w:bookmarkStart w:id="22" w:name="X3e862d7a67802ad3e5390c69b2429174ead550e"/>
    <w:p>
      <w:pPr>
        <w:pStyle w:val="Heading2"/>
      </w:pPr>
      <w:r>
        <w:t xml:space="preserve">2. Scope of Work — Carpenter Services in Turkey Istanbul</w:t>
      </w:r>
    </w:p>
    <w:p>
      <w:pPr>
        <w:pStyle w:val="FirstParagraph"/>
      </w:pPr>
      <w:r>
        <w:t xml:space="preserve">The</w:t>
      </w:r>
      <w:r>
        <w:t xml:space="preserve"> </w:t>
      </w:r>
      <w:r>
        <w:t xml:space="preserve">Carpenter</w:t>
      </w:r>
      <w:r>
        <w:t xml:space="preserve"> </w:t>
      </w:r>
      <w:r>
        <w:t xml:space="preserve">team assigned to this project will operate exclusively within the Bebek and Şişli districts of</w:t>
      </w:r>
      <w:r>
        <w:t xml:space="preserve"> </w:t>
      </w:r>
      <w:r>
        <w:t xml:space="preserve">Turkey Istanbul</w:t>
      </w:r>
      <w:r>
        <w:t xml:space="preserve">, adhering to all municipal building codes, fire-safety regulations, and heritage-preservation guidelines applicable to the Bebek historic zone. The scope encompasses the following deliverables:</w:t>
      </w:r>
    </w:p>
    <w:p>
      <w:pPr>
        <w:numPr>
          <w:ilvl w:val="0"/>
          <w:numId w:val="1001"/>
        </w:numPr>
        <w:pStyle w:val="Compact"/>
      </w:pPr>
      <w:r>
        <w:t xml:space="preserve">Design and fabrication of a solid oak built-in bookcase (4.2 m × 2.4 m) with integrated LED lighting channels and adjustable shelving.</w:t>
      </w:r>
    </w:p>
    <w:p>
      <w:pPr>
        <w:numPr>
          <w:ilvl w:val="0"/>
          <w:numId w:val="1001"/>
        </w:numPr>
        <w:pStyle w:val="Compact"/>
      </w:pPr>
      <w:r>
        <w:t xml:space="preserve">Construction of a custom walnut dining table (2.6 m × 1.1 m) with hand-carved apron detailing and brass inlay accents.</w:t>
      </w:r>
    </w:p>
    <w:p>
      <w:pPr>
        <w:numPr>
          <w:ilvl w:val="0"/>
          <w:numId w:val="1001"/>
        </w:numPr>
        <w:pStyle w:val="Compact"/>
      </w:pPr>
      <w:r>
        <w:t xml:space="preserve">Installation of solid cherry hardwood flooring (approximately 85 m²) in the ground-floor living area, including subfloor preparation, moisture barrier, and finish sanding.</w:t>
      </w:r>
    </w:p>
    <w:p>
      <w:pPr>
        <w:numPr>
          <w:ilvl w:val="0"/>
          <w:numId w:val="1001"/>
        </w:numPr>
        <w:pStyle w:val="Compact"/>
      </w:pPr>
      <w:r>
        <w:t xml:space="preserve">Repair and restoration of the existing 1920s mahogany staircase balustrade, including replacement of four damaged spindles and re-staining of all visible timber.</w:t>
      </w:r>
    </w:p>
    <w:p>
      <w:pPr>
        <w:numPr>
          <w:ilvl w:val="0"/>
          <w:numId w:val="1001"/>
        </w:numPr>
        <w:pStyle w:val="Compact"/>
      </w:pPr>
      <w:r>
        <w:t xml:space="preserve">Fabrication and fitting of three custom interior doors (2.1 m × 0.9 m) in European ash with concealed hinges and soft-close hardware.</w:t>
      </w:r>
    </w:p>
    <w:p>
      <w:pPr>
        <w:numPr>
          <w:ilvl w:val="0"/>
          <w:numId w:val="1001"/>
        </w:numPr>
        <w:pStyle w:val="Compact"/>
      </w:pPr>
      <w:r>
        <w:t xml:space="preserve">Supply and installation of a bespoke kitchen island (2.0 m × 0.9 m) in reclaimed Turkish walnut with a honed marble countertop.</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Master Carpenter &amp; two journeymen — on-site labour (45 working days)</w:t>
            </w:r>
          </w:p>
        </w:tc>
        <w:tc>
          <w:tcPr/>
          <w:p>
            <w:pPr>
              <w:pStyle w:val="Compact"/>
              <w:jc w:val="left"/>
            </w:pPr>
            <w:r>
              <w:t xml:space="preserve">Day</w:t>
            </w:r>
          </w:p>
        </w:tc>
        <w:tc>
          <w:tcPr/>
          <w:p>
            <w:pPr>
              <w:pStyle w:val="Compact"/>
              <w:jc w:val="left"/>
            </w:pPr>
            <w:r>
              <w:t xml:space="preserve">45</w:t>
            </w:r>
          </w:p>
        </w:tc>
        <w:tc>
          <w:tcPr/>
          <w:p>
            <w:pPr>
              <w:pStyle w:val="Compact"/>
              <w:jc w:val="left"/>
            </w:pPr>
            <w:r>
              <w:t xml:space="preserve">4,800.00</w:t>
            </w:r>
          </w:p>
        </w:tc>
        <w:tc>
          <w:tcPr/>
          <w:p>
            <w:pPr>
              <w:pStyle w:val="Compact"/>
              <w:jc w:val="left"/>
            </w:pPr>
            <w:r>
              <w:t xml:space="preserve">216,000.00</w:t>
            </w:r>
          </w:p>
        </w:tc>
      </w:tr>
      <w:tr>
        <w:tc>
          <w:tcPr/>
          <w:p>
            <w:pPr>
              <w:pStyle w:val="Compact"/>
              <w:jc w:val="left"/>
            </w:pPr>
            <w:r>
              <w:t xml:space="preserve">02</w:t>
            </w:r>
          </w:p>
        </w:tc>
        <w:tc>
          <w:tcPr/>
          <w:p>
            <w:pPr>
              <w:pStyle w:val="Compact"/>
              <w:jc w:val="left"/>
            </w:pPr>
            <w:r>
              <w:t xml:space="preserve">Solid European oak timber, kiln-dried (FSC certified) — bookcase</w:t>
            </w:r>
          </w:p>
        </w:tc>
        <w:tc>
          <w:tcPr/>
          <w:p>
            <w:pPr>
              <w:pStyle w:val="Compact"/>
              <w:jc w:val="left"/>
            </w:pPr>
            <w:r>
              <w:t xml:space="preserve">m³</w:t>
            </w:r>
          </w:p>
        </w:tc>
        <w:tc>
          <w:tcPr/>
          <w:p>
            <w:pPr>
              <w:pStyle w:val="Compact"/>
              <w:jc w:val="left"/>
            </w:pPr>
            <w:r>
              <w:t xml:space="preserve">2.8</w:t>
            </w:r>
          </w:p>
        </w:tc>
        <w:tc>
          <w:tcPr/>
          <w:p>
            <w:pPr>
              <w:pStyle w:val="Compact"/>
              <w:jc w:val="left"/>
            </w:pPr>
            <w:r>
              <w:t xml:space="preserve">18,500.00</w:t>
            </w:r>
          </w:p>
        </w:tc>
        <w:tc>
          <w:tcPr/>
          <w:p>
            <w:pPr>
              <w:pStyle w:val="Compact"/>
              <w:jc w:val="left"/>
            </w:pPr>
            <w:r>
              <w:t xml:space="preserve">51,800.00</w:t>
            </w:r>
          </w:p>
        </w:tc>
      </w:tr>
      <w:tr>
        <w:tc>
          <w:tcPr/>
          <w:p>
            <w:pPr>
              <w:pStyle w:val="Compact"/>
              <w:jc w:val="left"/>
            </w:pPr>
            <w:r>
              <w:t xml:space="preserve">03</w:t>
            </w:r>
          </w:p>
        </w:tc>
        <w:tc>
          <w:tcPr/>
          <w:p>
            <w:pPr>
              <w:pStyle w:val="Compact"/>
              <w:jc w:val="left"/>
            </w:pPr>
            <w:r>
              <w:t xml:space="preserve">Walnut timber &amp; brass inlay materials — dining table</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Cherry hardwood flooring, 19 mm tongue-and-groove, incl. underlayment</w:t>
            </w:r>
          </w:p>
        </w:tc>
        <w:tc>
          <w:tcPr/>
          <w:p>
            <w:pPr>
              <w:pStyle w:val="Compact"/>
              <w:jc w:val="left"/>
            </w:pPr>
            <w:r>
              <w:t xml:space="preserve">m²</w:t>
            </w:r>
          </w:p>
        </w:tc>
        <w:tc>
          <w:tcPr/>
          <w:p>
            <w:pPr>
              <w:pStyle w:val="Compact"/>
              <w:jc w:val="left"/>
            </w:pPr>
            <w:r>
              <w:t xml:space="preserve">85</w:t>
            </w:r>
          </w:p>
        </w:tc>
        <w:tc>
          <w:tcPr/>
          <w:p>
            <w:pPr>
              <w:pStyle w:val="Compact"/>
              <w:jc w:val="left"/>
            </w:pPr>
            <w:r>
              <w:t xml:space="preserve">1,250.00</w:t>
            </w:r>
          </w:p>
        </w:tc>
        <w:tc>
          <w:tcPr/>
          <w:p>
            <w:pPr>
              <w:pStyle w:val="Compact"/>
              <w:jc w:val="left"/>
            </w:pPr>
            <w:r>
              <w:t xml:space="preserve">106,250.00</w:t>
            </w:r>
          </w:p>
        </w:tc>
      </w:tr>
      <w:tr>
        <w:tc>
          <w:tcPr/>
          <w:p>
            <w:pPr>
              <w:pStyle w:val="Compact"/>
              <w:jc w:val="left"/>
            </w:pPr>
            <w:r>
              <w:t xml:space="preserve">05</w:t>
            </w:r>
          </w:p>
        </w:tc>
        <w:tc>
          <w:tcPr/>
          <w:p>
            <w:pPr>
              <w:pStyle w:val="Compact"/>
              <w:jc w:val="left"/>
            </w:pPr>
            <w:r>
              <w:t xml:space="preserve">Mahogany staircase restoration — materials, stain, and labour</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06</w:t>
            </w:r>
          </w:p>
        </w:tc>
        <w:tc>
          <w:tcPr/>
          <w:p>
            <w:pPr>
              <w:pStyle w:val="Compact"/>
              <w:jc w:val="left"/>
            </w:pPr>
            <w:r>
              <w:t xml:space="preserve">European ash interior doors (3 units) with concealed hardware</w:t>
            </w:r>
          </w:p>
        </w:tc>
        <w:tc>
          <w:tcPr/>
          <w:p>
            <w:pPr>
              <w:pStyle w:val="Compact"/>
              <w:jc w:val="left"/>
            </w:pPr>
            <w:r>
              <w:t xml:space="preserve">Unit</w:t>
            </w:r>
          </w:p>
        </w:tc>
        <w:tc>
          <w:tcPr/>
          <w:p>
            <w:pPr>
              <w:pStyle w:val="Compact"/>
              <w:jc w:val="left"/>
            </w:pPr>
            <w:r>
              <w:t xml:space="preserve">3</w:t>
            </w:r>
          </w:p>
        </w:tc>
        <w:tc>
          <w:tcPr/>
          <w:p>
            <w:pPr>
              <w:pStyle w:val="Compact"/>
              <w:jc w:val="left"/>
            </w:pPr>
            <w:r>
              <w:t xml:space="preserve">14,200.00</w:t>
            </w:r>
          </w:p>
        </w:tc>
        <w:tc>
          <w:tcPr/>
          <w:p>
            <w:pPr>
              <w:pStyle w:val="Compact"/>
              <w:jc w:val="left"/>
            </w:pPr>
            <w:r>
              <w:t xml:space="preserve">42,600.00</w:t>
            </w:r>
          </w:p>
        </w:tc>
      </w:tr>
      <w:tr>
        <w:tc>
          <w:tcPr/>
          <w:p>
            <w:pPr>
              <w:pStyle w:val="Compact"/>
              <w:jc w:val="left"/>
            </w:pPr>
            <w:r>
              <w:t xml:space="preserve">07</w:t>
            </w:r>
          </w:p>
        </w:tc>
        <w:tc>
          <w:tcPr/>
          <w:p>
            <w:pPr>
              <w:pStyle w:val="Compact"/>
              <w:jc w:val="left"/>
            </w:pPr>
            <w:r>
              <w:t xml:space="preserve">Reclaimed Turkish walnut kitchen island &amp; honed marble top</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08</w:t>
            </w:r>
          </w:p>
        </w:tc>
        <w:tc>
          <w:tcPr/>
          <w:p>
            <w:pPr>
              <w:pStyle w:val="Compact"/>
              <w:jc w:val="left"/>
            </w:pPr>
            <w:r>
              <w:t xml:space="preserve">Workshop overhead, tooling, and finishing supplies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Site logistics, waste removal, and dust-extraction equipment (Turkey Istanbul municipal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10</w:t>
            </w:r>
          </w:p>
        </w:tc>
        <w:tc>
          <w:tcPr/>
          <w:p>
            <w:pPr>
              <w:pStyle w:val="Compact"/>
              <w:jc w:val="left"/>
            </w:pPr>
            <w:r>
              <w:t xml:space="preserve">Project supervision, quality inspection, and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 (TRY)</w:t>
            </w:r>
          </w:p>
        </w:tc>
        <w:tc>
          <w:tcPr/>
          <w:p>
            <w:pPr>
              <w:pStyle w:val="Compact"/>
              <w:jc w:val="left"/>
            </w:pPr>
            <w:r>
              <w:t xml:space="preserve">592,650.00</w:t>
            </w:r>
          </w:p>
        </w:tc>
      </w:tr>
      <w:tr>
        <w:tc>
          <w:tcPr>
            <w:gridSpan w:val="5"/>
          </w:tcPr>
          <w:p>
            <w:pPr>
              <w:pStyle w:val="Compact"/>
              <w:jc w:val="left"/>
            </w:pPr>
            <w:r>
              <w:t xml:space="preserve">VAT @ 20% (Turkey Istanbul municipal rate)</w:t>
            </w:r>
          </w:p>
        </w:tc>
        <w:tc>
          <w:tcPr/>
          <w:p>
            <w:pPr>
              <w:pStyle w:val="Compact"/>
              <w:jc w:val="left"/>
            </w:pPr>
            <w:r>
              <w:t xml:space="preserve">118,530.00</w:t>
            </w:r>
          </w:p>
        </w:tc>
      </w:tr>
      <w:tr>
        <w:tc>
          <w:tcPr>
            <w:gridSpan w:val="5"/>
          </w:tcPr>
          <w:p>
            <w:pPr>
              <w:pStyle w:val="Compact"/>
              <w:jc w:val="left"/>
            </w:pPr>
            <w:r>
              <w:rPr>
                <w:bCs/>
                <w:b/>
              </w:rPr>
              <w:t xml:space="preserve">GRAND TOTAL (TRY)</w:t>
            </w:r>
          </w:p>
        </w:tc>
        <w:tc>
          <w:tcPr/>
          <w:p>
            <w:pPr>
              <w:pStyle w:val="Compact"/>
              <w:jc w:val="left"/>
            </w:pPr>
            <w:r>
              <w:rPr>
                <w:bCs/>
                <w:b/>
              </w:rPr>
              <w:t xml:space="preserve">711,180.00</w:t>
            </w:r>
          </w:p>
        </w:tc>
      </w:tr>
    </w:tbl>
    <w:bookmarkEnd w:id="23"/>
    <w:bookmarkStart w:id="24" w:name="payment-schedule"/>
    <w:p>
      <w:pPr>
        <w:pStyle w:val="Heading2"/>
      </w:pPr>
      <w:r>
        <w:t xml:space="preserve">4. Payment Schedule</w:t>
      </w:r>
    </w:p>
    <w:p>
      <w:pPr>
        <w:pStyle w:val="FirstParagraph"/>
      </w:pPr>
      <w:r>
        <w:t xml:space="preserve">In accordance with standard practice for</w:t>
      </w:r>
      <w:r>
        <w:t xml:space="preserve"> </w:t>
      </w:r>
      <w:r>
        <w:t xml:space="preserve">Carpenter</w:t>
      </w:r>
      <w:r>
        <w:t xml:space="preserve"> </w:t>
      </w:r>
      <w:r>
        <w:t xml:space="preserve">engagements in</w:t>
      </w:r>
      <w:r>
        <w:t xml:space="preserve"> </w:t>
      </w:r>
      <w:r>
        <w:t xml:space="preserve">Turkey Istanbul</w:t>
      </w:r>
      <w:r>
        <w:t xml:space="preserve">, the total amount stated in this</w:t>
      </w:r>
      <w:r>
        <w:t xml:space="preserve"> </w:t>
      </w:r>
      <w:r>
        <w:t xml:space="preserve">Quotation Estimate</w:t>
      </w:r>
      <w:r>
        <w:t xml:space="preserve"> </w:t>
      </w:r>
      <w:r>
        <w:t xml:space="preserve">shall be disbursed in three instalments:</w:t>
      </w:r>
    </w:p>
    <w:p>
      <w:pPr>
        <w:numPr>
          <w:ilvl w:val="0"/>
          <w:numId w:val="1002"/>
        </w:numPr>
        <w:pStyle w:val="Compact"/>
      </w:pPr>
      <w:r>
        <w:rPr>
          <w:bCs/>
          <w:b/>
        </w:rPr>
        <w:t xml:space="preserve">Instalment 1 (40%):</w:t>
      </w:r>
      <w:r>
        <w:t xml:space="preserve"> </w:t>
      </w:r>
      <w:r>
        <w:t xml:space="preserve">TRY 284,472.00 — due upon signing of the Service Agreement and prior to commencement of workshop fabrication.</w:t>
      </w:r>
    </w:p>
    <w:p>
      <w:pPr>
        <w:numPr>
          <w:ilvl w:val="0"/>
          <w:numId w:val="1002"/>
        </w:numPr>
        <w:pStyle w:val="Compact"/>
      </w:pPr>
      <w:r>
        <w:rPr>
          <w:bCs/>
          <w:b/>
        </w:rPr>
        <w:t xml:space="preserve">Instalment 2 (35%):</w:t>
      </w:r>
      <w:r>
        <w:t xml:space="preserve"> </w:t>
      </w:r>
      <w:r>
        <w:t xml:space="preserve">TRY 248,913.00 — due upon completion of all off-site fabrication and prior to on-site installation.</w:t>
      </w:r>
    </w:p>
    <w:p>
      <w:pPr>
        <w:numPr>
          <w:ilvl w:val="0"/>
          <w:numId w:val="1002"/>
        </w:numPr>
        <w:pStyle w:val="Compact"/>
      </w:pPr>
      <w:r>
        <w:rPr>
          <w:bCs/>
          <w:b/>
        </w:rPr>
        <w:t xml:space="preserve">Instalment 3 (25%):</w:t>
      </w:r>
      <w:r>
        <w:t xml:space="preserve"> </w:t>
      </w:r>
      <w:r>
        <w:t xml:space="preserve">TRY 177,795.00 — due upon final inspection, client sign-off, and delivery of the as-built documentation package.</w:t>
      </w:r>
    </w:p>
    <w:bookmarkEnd w:id="24"/>
    <w:bookmarkStart w:id="25" w:name="project-timeline"/>
    <w:p>
      <w:pPr>
        <w:pStyle w:val="Heading2"/>
      </w:pPr>
      <w:r>
        <w:t xml:space="preserve">5. Project Timeline</w:t>
      </w:r>
    </w:p>
    <w:p>
      <w:pPr>
        <w:pStyle w:val="FirstParagraph"/>
      </w:pPr>
      <w:r>
        <w:t xml:space="preserve">The</w:t>
      </w:r>
      <w:r>
        <w:t xml:space="preserve"> </w:t>
      </w:r>
      <w:r>
        <w:t xml:space="preserve">Carpenter</w:t>
      </w:r>
      <w:r>
        <w:t xml:space="preserve"> </w:t>
      </w:r>
      <w:r>
        <w:t xml:space="preserve">team anticipates a total project duration of approximately</w:t>
      </w:r>
      <w:r>
        <w:t xml:space="preserve"> </w:t>
      </w:r>
      <w:r>
        <w:rPr>
          <w:bCs/>
          <w:b/>
        </w:rPr>
        <w:t xml:space="preserve">45 working days</w:t>
      </w:r>
      <w:r>
        <w:t xml:space="preserve">, commencing on 1 July 2025 and concluding no later than 12 August 2025. Workshop fabrication will take place at our Kadıköy facility in</w:t>
      </w:r>
      <w:r>
        <w:t xml:space="preserve"> </w:t>
      </w:r>
      <w:r>
        <w:t xml:space="preserve">Turkey Istanbul</w:t>
      </w:r>
      <w:r>
        <w:t xml:space="preserve">, with on-site installation scheduled for the final 12 working days. Any delays attributable to municipal permit processing, material supply-chain disruptions, or force-majeure events will be communicated in writing within 48 hours.</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Prices are quoted in Turkish Lira (TRY) and are subject to revision if raw timber costs fluctuate by more than 8% during the validity period.</w:t>
      </w:r>
    </w:p>
    <w:p>
      <w:pPr>
        <w:numPr>
          <w:ilvl w:val="0"/>
          <w:numId w:val="1003"/>
        </w:numPr>
        <w:pStyle w:val="Compact"/>
      </w:pPr>
      <w:r>
        <w:t xml:space="preserve">All timber sourced for this project shall be FSC-certified or, where reclaimed stock is specified, accompanied by a provenance declaration compliant with</w:t>
      </w:r>
      <w:r>
        <w:t xml:space="preserve"> </w:t>
      </w:r>
      <w:r>
        <w:t xml:space="preserve">Turkey Istanbul</w:t>
      </w:r>
      <w:r>
        <w:t xml:space="preserve"> </w:t>
      </w:r>
      <w:r>
        <w:t xml:space="preserve">environmental regulations.</w:t>
      </w:r>
    </w:p>
    <w:p>
      <w:pPr>
        <w:numPr>
          <w:ilvl w:val="0"/>
          <w:numId w:val="1003"/>
        </w:numPr>
        <w:pStyle w:val="Compact"/>
      </w:pPr>
      <w:r>
        <w:t xml:space="preserve">The</w:t>
      </w:r>
      <w:r>
        <w:t xml:space="preserve"> </w:t>
      </w:r>
      <w:r>
        <w:t xml:space="preserve">Carpenter</w:t>
      </w:r>
      <w:r>
        <w:t xml:space="preserve"> </w:t>
      </w:r>
      <w:r>
        <w:t xml:space="preserve">and all workshop personnel shall carry valid occupational health and safety certifications as mandated by the Republic of Turkey Ministry of Labour and Social Security.</w:t>
      </w:r>
    </w:p>
    <w:p>
      <w:pPr>
        <w:numPr>
          <w:ilvl w:val="0"/>
          <w:numId w:val="1003"/>
        </w:numPr>
        <w:pStyle w:val="Compact"/>
      </w:pPr>
      <w:r>
        <w:t xml:space="preserve">A two-year workmanship warranty is included on all fabricated items. The warranty covers defects in materials and craftsmanship but excludes damage caused by improper maintenance, structural settlement, or unauthorised modification.</w:t>
      </w:r>
    </w:p>
    <w:p>
      <w:pPr>
        <w:numPr>
          <w:ilvl w:val="0"/>
          <w:numId w:val="1003"/>
        </w:numPr>
        <w:pStyle w:val="Compact"/>
      </w:pPr>
      <w:r>
        <w:t xml:space="preserve">The client is responsible for obtaining any additional municipal permits required for structural alterations to the staircase or load-bearing elements within the Bebek historic conservation zone.</w:t>
      </w:r>
    </w:p>
    <w:p>
      <w:pPr>
        <w:numPr>
          <w:ilvl w:val="0"/>
          <w:numId w:val="1003"/>
        </w:numPr>
        <w:pStyle w:val="Compact"/>
      </w:pPr>
      <w:r>
        <w:t xml:space="preserve">All disputes arising from this engagement shall be resolved through mediation in</w:t>
      </w:r>
      <w:r>
        <w:t xml:space="preserve"> </w:t>
      </w:r>
      <w:r>
        <w:t xml:space="preserve">Turkey Istanbul</w:t>
      </w:r>
      <w:r>
        <w:t xml:space="preserve"> </w:t>
      </w:r>
      <w:r>
        <w:t xml:space="preserve">before recourse to the competent courts of the Republic of Turkey.</w:t>
      </w:r>
    </w:p>
    <w:p>
      <w:pPr>
        <w:numPr>
          <w:ilvl w:val="0"/>
          <w:numId w:val="1003"/>
        </w:numPr>
        <w:pStyle w:val="Compact"/>
      </w:pPr>
      <w:r>
        <w:t xml:space="preserve">This</w:t>
      </w:r>
      <w:r>
        <w:t xml:space="preserve"> </w:t>
      </w:r>
      <w:r>
        <w:t xml:space="preserve">Quotation Estimate</w:t>
      </w:r>
      <w:r>
        <w:t xml:space="preserve"> </w:t>
      </w:r>
      <w:r>
        <w:t xml:space="preserve">does not include costs for electrical wiring beyond the LED channels in the bookcase, plumbing modifications, or painting of non-wood surfaces.</w:t>
      </w:r>
    </w:p>
    <w:bookmarkEnd w:id="26"/>
    <w:bookmarkStart w:id="27" w:name="acceptance-and-authorisation"/>
    <w:p>
      <w:pPr>
        <w:pStyle w:val="Heading2"/>
      </w:pPr>
      <w:r>
        <w:t xml:space="preserve">7.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Boğaz Carpentry &amp; Woodworks Ltd. to proceed with the</w:t>
      </w:r>
      <w:r>
        <w:t xml:space="preserve"> </w:t>
      </w:r>
      <w:r>
        <w:t xml:space="preserve">Carpenter</w:t>
      </w:r>
      <w:r>
        <w:t xml:space="preserve"> </w:t>
      </w:r>
      <w:r>
        <w:t xml:space="preserve">services described herein at the project location in</w:t>
      </w:r>
      <w:r>
        <w:t xml:space="preserve"> </w:t>
      </w:r>
      <w:r>
        <w:t xml:space="preserve">Turkey Istanbul</w:t>
      </w:r>
      <w:r>
        <w:t xml:space="preserve">, subject to the terms and conditions set out above.</w:t>
      </w:r>
    </w:p>
    <w:p>
      <w:pPr>
        <w:pStyle w:val="BodyText"/>
      </w:pPr>
      <w:r>
        <w:rPr>
          <w:bCs/>
          <w:b/>
        </w:rPr>
        <w:t xml:space="preserve">For the Client</w:t>
      </w:r>
      <w:r>
        <w:br/>
      </w:r>
      <w:r>
        <w:t xml:space="preserve">Mr. James A. Whitfield</w:t>
      </w:r>
      <w:r>
        <w:br/>
      </w:r>
      <w:r>
        <w:t xml:space="preserve">Date: _______________</w:t>
      </w:r>
    </w:p>
    <w:p>
      <w:pPr>
        <w:pStyle w:val="BodyText"/>
      </w:pPr>
      <w:r>
        <w:rPr>
          <w:bCs/>
          <w:b/>
        </w:rPr>
        <w:t xml:space="preserve">For Boğaz Carpentry &amp; Woodworks Ltd.</w:t>
      </w:r>
      <w:r>
        <w:br/>
      </w:r>
      <w:r>
        <w:t xml:space="preserve">Mehmet Yılmaz, Master Carpenter</w:t>
      </w:r>
      <w:r>
        <w:br/>
      </w:r>
      <w:r>
        <w:t xml:space="preserve">Date: _______________</w:t>
      </w:r>
    </w:p>
    <w:p>
      <w:pPr>
        <w:pStyle w:val="BodyText"/>
      </w:pPr>
      <w:r>
        <w:t xml:space="preserve">Boğaz Carpentry &amp; Woodworks Ltd. • Kadıköy, Turkey Istanbul • Tel: +90 216 555 0142 • Email: quotes@bogazcarpentry.com.tr</w:t>
      </w:r>
      <w:r>
        <w:br/>
      </w:r>
      <w:r>
        <w:t xml:space="preserve">This Quotation Estimate is a confidential commercial document. Unauthorised reproduction or distribution is prohibited.</w:t>
      </w:r>
      <w:r>
        <w:br/>
      </w:r>
      <w:r>
        <w:t xml:space="preserve">Document Reference: QTE-IST-2025-04782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Turkey Istanbul</dc:title>
  <dc:creator/>
  <dc:language>en</dc:language>
  <cp:keywords/>
  <dcterms:created xsi:type="dcterms:W3CDTF">2026-10-10T03:08:02Z</dcterms:created>
  <dcterms:modified xsi:type="dcterms:W3CDTF">2026-10-10T03:08:02Z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