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Al Noor Carpentry &amp; Woodwork Solutions LLC</w:t>
      </w:r>
    </w:p>
    <w:p>
      <w:pPr>
        <w:pStyle w:val="BodyText"/>
      </w:pPr>
      <w:r>
        <w:t xml:space="preserve">P.O. Box 4521, Al Reem Island, United Arab Emirates Abu Dhabi</w:t>
      </w:r>
    </w:p>
    <w:p>
      <w:pPr>
        <w:pStyle w:val="BodyText"/>
      </w:pPr>
      <w:r>
        <w:t xml:space="preserve">Tel: +971 2 555 0142 | Email: estimates@alnoorcarpentry.ae</w:t>
      </w:r>
    </w:p>
    <w:p>
      <w:pPr>
        <w:pStyle w:val="BodyText"/>
      </w:pPr>
      <w:r>
        <w:t xml:space="preserve">Trade License No. AD-2019-78432 | VAT No. 100456789012345</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United Arab Emirates Abu Dhabi</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Khalid Al Mansoori</w:t>
      </w:r>
    </w:p>
    <w:p>
      <w:pPr>
        <w:pStyle w:val="BodyText"/>
      </w:pPr>
      <w:r>
        <w:rPr>
          <w:bCs/>
          <w:b/>
        </w:rPr>
        <w:t xml:space="preserve">Company:</w:t>
      </w:r>
      <w:r>
        <w:t xml:space="preserve"> </w:t>
      </w:r>
      <w:r>
        <w:t xml:space="preserve">Mansoori Properties FZE</w:t>
      </w:r>
    </w:p>
    <w:p>
      <w:pPr>
        <w:pStyle w:val="BodyText"/>
      </w:pPr>
      <w:r>
        <w:rPr>
          <w:bCs/>
          <w:b/>
        </w:rPr>
        <w:t xml:space="preserve">Address:</w:t>
      </w:r>
      <w:r>
        <w:t xml:space="preserve"> </w:t>
      </w:r>
      <w:r>
        <w:t xml:space="preserve">Villa 27, Al Reem Island, United Arab Emirates Abu Dhabi</w:t>
      </w:r>
    </w:p>
    <w:p>
      <w:pPr>
        <w:pStyle w:val="BodyText"/>
      </w:pPr>
      <w:r>
        <w:rPr>
          <w:bCs/>
          <w:b/>
        </w:rPr>
        <w:t xml:space="preserve">Contact:</w:t>
      </w:r>
      <w:r>
        <w:t xml:space="preserve"> </w:t>
      </w:r>
      <w:r>
        <w:t xml:space="preserve">+971 50 442 8891</w:t>
      </w:r>
    </w:p>
    <w:bookmarkEnd w:id="22"/>
    <w:bookmarkStart w:id="23" w:name="scope-of-carpenter-services"/>
    <w:p>
      <w:pPr>
        <w:pStyle w:val="Heading2"/>
      </w:pPr>
      <w:r>
        <w:t xml:space="preserve">Scope of Carpenter Services</w:t>
      </w:r>
    </w:p>
    <w:p>
      <w:pPr>
        <w:pStyle w:val="FirstParagraph"/>
      </w:pPr>
      <w:r>
        <w:t xml:space="preserve">This</w:t>
      </w:r>
      <w:r>
        <w:t xml:space="preserve"> </w:t>
      </w:r>
      <w:r>
        <w:t xml:space="preserve">Quotation Estimate</w:t>
      </w:r>
      <w:r>
        <w:t xml:space="preserve"> </w:t>
      </w:r>
      <w:r>
        <w:t xml:space="preserve">is prepared by Al Noor Carpentry &amp; Woodwork Solutions LLC, a licensed and registered</w:t>
      </w:r>
      <w:r>
        <w:t xml:space="preserve"> </w:t>
      </w:r>
      <w:r>
        <w:t xml:space="preserve">Carpenter</w:t>
      </w:r>
      <w:r>
        <w:t xml:space="preserve"> </w:t>
      </w:r>
      <w:r>
        <w:t xml:space="preserve">service provider operating within the</w:t>
      </w:r>
      <w:r>
        <w:t xml:space="preserve"> </w:t>
      </w:r>
      <w:r>
        <w:t xml:space="preserve">United Arab Emirates Abu Dhabi</w:t>
      </w:r>
      <w:r>
        <w:t xml:space="preserve"> </w:t>
      </w:r>
      <w:r>
        <w:t xml:space="preserve">emirate. The following document outlines the complete scope of carpentry and woodwork services to be delivered at the client's residential property located in Al Reem Island, United Arab Emirates Abu Dhabi. All work shall be performed by our certified master Carpenter team in full compliance with Abu Dhabi Municipality building codes, UAE Civil Defense regulations, and the applicable standards set forth by the Emirates Authority for Standardization and Metrology (ESMA).</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 (AED)</w:t>
            </w:r>
          </w:p>
        </w:tc>
        <w:tc>
          <w:tcPr/>
          <w:p>
            <w:pPr>
              <w:pStyle w:val="Compact"/>
              <w:jc w:val="left"/>
            </w:pPr>
            <w:r>
              <w:t xml:space="preserve">Total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Custom-built master bedroom wardrobe with sliding doors, internal shelving, and LED strip lighting</w:t>
            </w:r>
          </w:p>
        </w:tc>
        <w:tc>
          <w:tcPr/>
          <w:p>
            <w:pPr>
              <w:pStyle w:val="Compact"/>
              <w:jc w:val="left"/>
            </w:pPr>
            <w:r>
              <w:t xml:space="preserve">Marine-grade plywood, walnut veneer</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working days</w:t>
            </w:r>
          </w:p>
        </w:tc>
      </w:tr>
      <w:tr>
        <w:tc>
          <w:tcPr/>
          <w:p>
            <w:pPr>
              <w:pStyle w:val="Compact"/>
              <w:jc w:val="left"/>
            </w:pPr>
            <w:r>
              <w:t xml:space="preserve">2</w:t>
            </w:r>
          </w:p>
        </w:tc>
        <w:tc>
          <w:tcPr/>
          <w:p>
            <w:pPr>
              <w:pStyle w:val="Compact"/>
              <w:jc w:val="left"/>
            </w:pPr>
            <w:r>
              <w:t xml:space="preserve">Kitchen cabinetry – full replacement including base units, wall units, and island countertop support structure</w:t>
            </w:r>
          </w:p>
        </w:tc>
        <w:tc>
          <w:tcPr/>
          <w:p>
            <w:pPr>
              <w:pStyle w:val="Compact"/>
              <w:jc w:val="left"/>
            </w:pPr>
            <w:r>
              <w:t xml:space="preserve">Moisture-resistant MDF, quartz laminate</w:t>
            </w:r>
          </w:p>
        </w:tc>
        <w:tc>
          <w:tcPr/>
          <w:p>
            <w:pPr>
              <w:pStyle w:val="Compact"/>
              <w:jc w:val="left"/>
            </w:pPr>
            <w:r>
              <w:t xml:space="preserve">1 set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18 working days</w:t>
            </w:r>
          </w:p>
        </w:tc>
      </w:tr>
      <w:tr>
        <w:tc>
          <w:tcPr/>
          <w:p>
            <w:pPr>
              <w:pStyle w:val="Compact"/>
              <w:jc w:val="left"/>
            </w:pPr>
            <w:r>
              <w:t xml:space="preserve">3</w:t>
            </w:r>
          </w:p>
        </w:tc>
        <w:tc>
          <w:tcPr/>
          <w:p>
            <w:pPr>
              <w:pStyle w:val="Compact"/>
              <w:jc w:val="left"/>
            </w:pPr>
            <w:r>
              <w:t xml:space="preserve">Custom floating bookshelf installation (living room and study), 6 units total</w:t>
            </w:r>
          </w:p>
        </w:tc>
        <w:tc>
          <w:tcPr/>
          <w:p>
            <w:pPr>
              <w:pStyle w:val="Compact"/>
              <w:jc w:val="left"/>
            </w:pPr>
            <w:r>
              <w:t xml:space="preserve">Solid oak, concealed steel brackets</w:t>
            </w:r>
          </w:p>
        </w:tc>
        <w:tc>
          <w:tcPr/>
          <w:p>
            <w:pPr>
              <w:pStyle w:val="Compact"/>
              <w:jc w:val="left"/>
            </w:pPr>
            <w:r>
              <w:t xml:space="preserve">6 units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5 working days</w:t>
            </w:r>
          </w:p>
        </w:tc>
      </w:tr>
      <w:tr>
        <w:tc>
          <w:tcPr/>
          <w:p>
            <w:pPr>
              <w:pStyle w:val="Compact"/>
              <w:jc w:val="left"/>
            </w:pPr>
            <w:r>
              <w:t xml:space="preserve">4</w:t>
            </w:r>
          </w:p>
        </w:tc>
        <w:tc>
          <w:tcPr/>
          <w:p>
            <w:pPr>
              <w:pStyle w:val="Compact"/>
              <w:jc w:val="left"/>
            </w:pPr>
            <w:r>
              <w:t xml:space="preserve">Interior door replacement – 4 solid-core wooden doors with frames, hinges, and hardware</w:t>
            </w:r>
          </w:p>
        </w:tc>
        <w:tc>
          <w:tcPr/>
          <w:p>
            <w:pPr>
              <w:pStyle w:val="Compact"/>
              <w:jc w:val="left"/>
            </w:pPr>
            <w:r>
              <w:t xml:space="preserve">Teak solid core, brass fittings</w:t>
            </w:r>
          </w:p>
        </w:tc>
        <w:tc>
          <w:tcPr/>
          <w:p>
            <w:pPr>
              <w:pStyle w:val="Compact"/>
              <w:jc w:val="left"/>
            </w:pPr>
            <w:r>
              <w:t xml:space="preserve">4 doors</w:t>
            </w:r>
          </w:p>
        </w:tc>
        <w:tc>
          <w:tcPr/>
          <w:p>
            <w:pPr>
              <w:pStyle w:val="Compact"/>
              <w:jc w:val="left"/>
            </w:pPr>
            <w:r>
              <w:t xml:space="preserve">4,200.00</w:t>
            </w:r>
          </w:p>
        </w:tc>
        <w:tc>
          <w:tcPr/>
          <w:p>
            <w:pPr>
              <w:pStyle w:val="Compact"/>
              <w:jc w:val="left"/>
            </w:pPr>
            <w:r>
              <w:t xml:space="preserve">16,800.00</w:t>
            </w:r>
          </w:p>
        </w:tc>
        <w:tc>
          <w:tcPr/>
          <w:p>
            <w:pPr>
              <w:pStyle w:val="Compact"/>
              <w:jc w:val="left"/>
            </w:pPr>
            <w:r>
              <w:t xml:space="preserve">6 working days</w:t>
            </w:r>
          </w:p>
        </w:tc>
      </w:tr>
      <w:tr>
        <w:tc>
          <w:tcPr/>
          <w:p>
            <w:pPr>
              <w:pStyle w:val="Compact"/>
              <w:jc w:val="left"/>
            </w:pPr>
            <w:r>
              <w:t xml:space="preserve">5</w:t>
            </w:r>
          </w:p>
        </w:tc>
        <w:tc>
          <w:tcPr/>
          <w:p>
            <w:pPr>
              <w:pStyle w:val="Compact"/>
              <w:jc w:val="left"/>
            </w:pPr>
            <w:r>
              <w:t xml:space="preserve">Bathroom vanity units with integrated storage and mirror cabinets (2 bathrooms)</w:t>
            </w:r>
          </w:p>
        </w:tc>
        <w:tc>
          <w:tcPr/>
          <w:p>
            <w:pPr>
              <w:pStyle w:val="Compact"/>
              <w:jc w:val="left"/>
            </w:pPr>
            <w:r>
              <w:t xml:space="preserve">Waterproof plywood, ceramic tile front</w:t>
            </w:r>
          </w:p>
        </w:tc>
        <w:tc>
          <w:tcPr/>
          <w:p>
            <w:pPr>
              <w:pStyle w:val="Compact"/>
              <w:jc w:val="left"/>
            </w:pPr>
            <w:r>
              <w:t xml:space="preserve">2 sets</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7 working days</w:t>
            </w:r>
          </w:p>
        </w:tc>
      </w:tr>
      <w:tr>
        <w:tc>
          <w:tcPr/>
          <w:p>
            <w:pPr>
              <w:pStyle w:val="Compact"/>
              <w:jc w:val="left"/>
            </w:pPr>
            <w:r>
              <w:t xml:space="preserve">6</w:t>
            </w:r>
          </w:p>
        </w:tc>
        <w:tc>
          <w:tcPr/>
          <w:p>
            <w:pPr>
              <w:pStyle w:val="Compact"/>
              <w:jc w:val="left"/>
            </w:pPr>
            <w:r>
              <w:t xml:space="preserve">Exterior wooden pergola construction and installation (garden area)</w:t>
            </w:r>
          </w:p>
        </w:tc>
        <w:tc>
          <w:tcPr/>
          <w:p>
            <w:pPr>
              <w:pStyle w:val="Compact"/>
              <w:jc w:val="left"/>
            </w:pPr>
            <w:r>
              <w:t xml:space="preserve">Treated hardwood, stainless steel fixings</w:t>
            </w:r>
          </w:p>
        </w:tc>
        <w:tc>
          <w:tcPr/>
          <w:p>
            <w:pPr>
              <w:pStyle w:val="Compact"/>
              <w:jc w:val="left"/>
            </w:pPr>
            <w:r>
              <w:t xml:space="preserve">1 unit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10 working days</w:t>
            </w:r>
          </w:p>
        </w:tc>
      </w:tr>
      <w:tr>
        <w:tc>
          <w:tcPr/>
          <w:p>
            <w:pPr>
              <w:pStyle w:val="Compact"/>
              <w:jc w:val="left"/>
            </w:pPr>
            <w:r>
              <w:t xml:space="preserve">7</w:t>
            </w:r>
          </w:p>
        </w:tc>
        <w:tc>
          <w:tcPr/>
          <w:p>
            <w:pPr>
              <w:pStyle w:val="Compact"/>
              <w:jc w:val="left"/>
            </w:pPr>
            <w:r>
              <w:t xml:space="preserve">Site preparation, material delivery to United Arab Emirates Abu Dhabi site, and final finishing (sanding, staining, sealing)</w:t>
            </w:r>
          </w:p>
        </w:tc>
        <w:tc>
          <w:tcPr/>
          <w:p>
            <w:pPr>
              <w:pStyle w:val="Compact"/>
              <w:jc w:val="left"/>
            </w:pPr>
            <w:r>
              <w:t xml:space="preserve">Professional-grade finishes</w:t>
            </w:r>
          </w:p>
        </w:tc>
        <w:tc>
          <w:tcPr/>
          <w:p>
            <w:pPr>
              <w:pStyle w:val="Compact"/>
              <w:jc w:val="left"/>
            </w:pPr>
            <w:r>
              <w:t xml:space="preserve">1 lot</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4 working days</w:t>
            </w:r>
          </w:p>
        </w:tc>
      </w:tr>
      <w:tr>
        <w:tc>
          <w:tcPr/>
          <w:p>
            <w:pPr>
              <w:pStyle w:val="Compact"/>
              <w:jc w:val="left"/>
            </w:pPr>
            <w:r>
              <w:t xml:space="preserve">8</w:t>
            </w:r>
          </w:p>
        </w:tc>
        <w:tc>
          <w:tcPr/>
          <w:p>
            <w:pPr>
              <w:pStyle w:val="Compact"/>
              <w:jc w:val="left"/>
            </w:pPr>
            <w:r>
              <w:t xml:space="preserve">Project supervision by senior Carpenter and weekly progress reporting to client</w:t>
            </w:r>
          </w:p>
        </w:tc>
        <w:tc>
          <w:tcPr/>
          <w:p>
            <w:pPr>
              <w:pStyle w:val="Compact"/>
              <w:jc w:val="left"/>
            </w:pPr>
            <w:r>
              <w:t xml:space="preserve">On-site supervision</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Entire project</w:t>
            </w:r>
          </w:p>
        </w:tc>
      </w:tr>
      <w:tr>
        <w:tc>
          <w:tcPr>
            <w:gridSpan w:val="5"/>
          </w:tcPr>
          <w:p>
            <w:pPr>
              <w:pStyle w:val="Compact"/>
              <w:jc w:val="left"/>
            </w:pPr>
            <w:r>
              <w:t xml:space="preserve">Subtotal</w:t>
            </w:r>
          </w:p>
        </w:tc>
        <w:tc>
          <w:tcPr/>
          <w:p>
            <w:pPr>
              <w:pStyle w:val="Compact"/>
              <w:jc w:val="left"/>
            </w:pPr>
            <w:r>
              <w:t xml:space="preserve">130,100.00</w:t>
            </w:r>
          </w:p>
        </w:tc>
        <w:tc>
          <w:tcPr/>
          <w:p>
            <w:pPr>
              <w:pStyle w:val="Compact"/>
            </w:pPr>
          </w:p>
        </w:tc>
      </w:tr>
      <w:tr>
        <w:tc>
          <w:tcPr>
            <w:gridSpan w:val="5"/>
          </w:tcPr>
          <w:p>
            <w:pPr>
              <w:pStyle w:val="Compact"/>
              <w:jc w:val="left"/>
            </w:pPr>
            <w:r>
              <w:t xml:space="preserve">VAT (5% – United Arab Emirates Abu Dhabi)</w:t>
            </w:r>
          </w:p>
        </w:tc>
        <w:tc>
          <w:tcPr/>
          <w:p>
            <w:pPr>
              <w:pStyle w:val="Compact"/>
              <w:jc w:val="left"/>
            </w:pPr>
            <w:r>
              <w:t xml:space="preserve">6,505.00</w:t>
            </w:r>
          </w:p>
        </w:tc>
        <w:tc>
          <w:tcPr/>
          <w:p>
            <w:pPr>
              <w:pStyle w:val="Compact"/>
            </w:pPr>
          </w:p>
        </w:tc>
      </w:tr>
      <w:tr>
        <w:tc>
          <w:tcPr>
            <w:gridSpan w:val="5"/>
          </w:tcPr>
          <w:p>
            <w:pPr>
              <w:pStyle w:val="Compact"/>
              <w:jc w:val="left"/>
            </w:pPr>
            <w:r>
              <w:rPr>
                <w:bCs/>
                <w:b/>
              </w:rPr>
              <w:t xml:space="preserve">GRAND TOTAL (AED)</w:t>
            </w:r>
          </w:p>
        </w:tc>
        <w:tc>
          <w:tcPr/>
          <w:p>
            <w:pPr>
              <w:pStyle w:val="Compact"/>
              <w:jc w:val="left"/>
            </w:pPr>
            <w:r>
              <w:rPr>
                <w:bCs/>
                <w:b/>
              </w:rPr>
              <w:t xml:space="preserve">136,605.00</w:t>
            </w:r>
          </w:p>
        </w:tc>
        <w:tc>
          <w:tcPr/>
          <w:p>
            <w:pPr>
              <w:pStyle w:val="Compact"/>
            </w:pPr>
          </w:p>
        </w:tc>
      </w:tr>
    </w:tbl>
    <w:p>
      <w:pPr>
        <w:pStyle w:val="BodyText"/>
      </w:pPr>
      <w:r>
        <w:rPr>
          <w:bCs/>
          <w:b/>
        </w:rPr>
        <w:t xml:space="preserve">Note:</w:t>
      </w:r>
      <w:r>
        <w:t xml:space="preserve"> </w:t>
      </w:r>
      <w:r>
        <w:t xml:space="preserve">This Quotation Estimate is specific to the project located in United Arab Emirates Abu Dhabi. All Carpenter labor rates, material costs, and logistics charges are quoted in United Arab Emirates Dirhams (AED). Prices are inclusive of all tools, equipment, and consumables required by the Carpenter team. Any additional work requested beyond the scope described above will be subject to a revised Quotation Estimate issued separately.</w:t>
      </w:r>
    </w:p>
    <w:bookmarkEnd w:id="24"/>
    <w:bookmarkStart w:id="25" w:name="payment-terms"/>
    <w:p>
      <w:pPr>
        <w:pStyle w:val="Heading2"/>
      </w:pPr>
      <w:r>
        <w:t xml:space="preserve">Payment Terms</w:t>
      </w:r>
    </w:p>
    <w:p>
      <w:pPr>
        <w:pStyle w:val="FirstParagraph"/>
      </w:pPr>
      <w:r>
        <w:t xml:space="preserve">The agreed payment schedule for this Carpenter project in United Arab Emirates Abu Dhabi shall be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(AED)</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40%</w:t>
            </w:r>
          </w:p>
        </w:tc>
        <w:tc>
          <w:tcPr/>
          <w:p>
            <w:pPr>
              <w:pStyle w:val="Compact"/>
              <w:jc w:val="left"/>
            </w:pPr>
            <w:r>
              <w:t xml:space="preserve">54,642.00</w:t>
            </w:r>
          </w:p>
        </w:tc>
        <w:tc>
          <w:tcPr/>
          <w:p>
            <w:pPr>
              <w:pStyle w:val="Compact"/>
              <w:jc w:val="left"/>
            </w:pPr>
            <w:r>
              <w:t xml:space="preserve">Within 5 working days of signing</w:t>
            </w:r>
          </w:p>
        </w:tc>
      </w:tr>
      <w:tr>
        <w:tc>
          <w:tcPr/>
          <w:p>
            <w:pPr>
              <w:pStyle w:val="Compact"/>
              <w:jc w:val="left"/>
            </w:pPr>
            <w:r>
              <w:t xml:space="preserve">Progress payment – 50% of Carpenter work completed</w:t>
            </w:r>
          </w:p>
        </w:tc>
        <w:tc>
          <w:tcPr/>
          <w:p>
            <w:pPr>
              <w:pStyle w:val="Compact"/>
              <w:jc w:val="left"/>
            </w:pPr>
            <w:r>
              <w:t xml:space="preserve">30%</w:t>
            </w:r>
          </w:p>
        </w:tc>
        <w:tc>
          <w:tcPr/>
          <w:p>
            <w:pPr>
              <w:pStyle w:val="Compact"/>
              <w:jc w:val="left"/>
            </w:pPr>
            <w:r>
              <w:t xml:space="preserve">40,981.50</w:t>
            </w:r>
          </w:p>
        </w:tc>
        <w:tc>
          <w:tcPr/>
          <w:p>
            <w:pPr>
              <w:pStyle w:val="Compact"/>
              <w:jc w:val="left"/>
            </w:pPr>
            <w:r>
              <w:t xml:space="preserve">Upon mid-project inspection</w:t>
            </w:r>
          </w:p>
        </w:tc>
      </w:tr>
      <w:tr>
        <w:tc>
          <w:tcPr/>
          <w:p>
            <w:pPr>
              <w:pStyle w:val="Compact"/>
              <w:jc w:val="left"/>
            </w:pPr>
            <w:r>
              <w:t xml:space="preserve">Final payment upon completion and client sign-off</w:t>
            </w:r>
          </w:p>
        </w:tc>
        <w:tc>
          <w:tcPr/>
          <w:p>
            <w:pPr>
              <w:pStyle w:val="Compact"/>
              <w:jc w:val="left"/>
            </w:pPr>
            <w:r>
              <w:t xml:space="preserve">30%</w:t>
            </w:r>
          </w:p>
        </w:tc>
        <w:tc>
          <w:tcPr/>
          <w:p>
            <w:pPr>
              <w:pStyle w:val="Compact"/>
              <w:jc w:val="left"/>
            </w:pPr>
            <w:r>
              <w:t xml:space="preserve">40,981.50</w:t>
            </w:r>
          </w:p>
        </w:tc>
        <w:tc>
          <w:tcPr/>
          <w:p>
            <w:pPr>
              <w:pStyle w:val="Compact"/>
              <w:jc w:val="left"/>
            </w:pPr>
            <w:r>
              <w:t xml:space="preserve">Within 7 days of final handover</w:t>
            </w:r>
          </w:p>
        </w:tc>
      </w:tr>
    </w:tbl>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a period of thirty (30) calendar days from the date of issue. After this period, all Carpenter service rates and material costs are subject to revision based on prevailing market conditions in United Arab Emirates Abu Dhabi.</w:t>
      </w:r>
    </w:p>
    <w:p>
      <w:pPr>
        <w:numPr>
          <w:ilvl w:val="0"/>
          <w:numId w:val="1001"/>
        </w:numPr>
        <w:pStyle w:val="Compact"/>
      </w:pPr>
      <w:r>
        <w:t xml:space="preserve">All Carpenter work shall be carried out in accordance with the approved drawings and specifications. Any deviation must be approved in writing by the client prior to execution.</w:t>
      </w:r>
    </w:p>
    <w:p>
      <w:pPr>
        <w:numPr>
          <w:ilvl w:val="0"/>
          <w:numId w:val="1001"/>
        </w:numPr>
        <w:pStyle w:val="Compact"/>
      </w:pPr>
      <w:r>
        <w:t xml:space="preserve">The project timeline of approximately 62 working days is an estimate. Delays caused by force majeure, client-requested changes, or Abu Dhabi Municipality inspection scheduling shall extend the timeline proportionally without penalty to the Carpenter contractor.</w:t>
      </w:r>
    </w:p>
    <w:p>
      <w:pPr>
        <w:numPr>
          <w:ilvl w:val="0"/>
          <w:numId w:val="1001"/>
        </w:numPr>
        <w:pStyle w:val="Compact"/>
      </w:pPr>
      <w:r>
        <w:t xml:space="preserve">A comprehensive two-year workmanship warranty is provided on all Carpenter installations. This warranty covers defects in materials and workmanship but does not cover damage resulting from misuse, natural wear, or unauthorized modifications.</w:t>
      </w:r>
    </w:p>
    <w:p>
      <w:pPr>
        <w:numPr>
          <w:ilvl w:val="0"/>
          <w:numId w:val="1001"/>
        </w:numPr>
        <w:pStyle w:val="Compact"/>
      </w:pPr>
      <w:r>
        <w:t xml:space="preserve">The client agrees to provide the Carpenter team with safe and accessible working conditions at the United Arab Emirates Abu Dhabi site, including adequate power supply, water access, and secure storage for materials.</w:t>
      </w:r>
    </w:p>
    <w:p>
      <w:pPr>
        <w:numPr>
          <w:ilvl w:val="0"/>
          <w:numId w:val="1001"/>
        </w:numPr>
        <w:pStyle w:val="Compact"/>
      </w:pPr>
      <w:r>
        <w:t xml:space="preserve">All materials sourced for this project shall be procured from approved suppliers within the United Arab Emirates. Import duties and customs clearance for any materials sourced internationally are included in the Quotation Estimate total.</w:t>
      </w:r>
    </w:p>
    <w:p>
      <w:pPr>
        <w:numPr>
          <w:ilvl w:val="0"/>
          <w:numId w:val="1001"/>
        </w:numPr>
        <w:pStyle w:val="Compact"/>
      </w:pPr>
      <w:r>
        <w:t xml:space="preserve">Disputes arising from this Quotation Estimate shall be resolved through amicable negotiation. In the event of unresolved disagreement, the matter shall be referred to the courts of competent jurisdiction in Abu Dhabi, United Arab Emirates, in accordance with UAE Federal Law.</w:t>
      </w:r>
    </w:p>
    <w:p>
      <w:pPr>
        <w:numPr>
          <w:ilvl w:val="0"/>
          <w:numId w:val="1001"/>
        </w:numPr>
        <w:pStyle w:val="Compact"/>
      </w:pPr>
      <w:r>
        <w:t xml:space="preserve">The Carpenter contractor shall maintain valid public liability insurance and workers' compensation coverage throughout the duration of the project, as mandated by UAE labor regulations applicable in Abu Dhabi.</w:t>
      </w:r>
    </w:p>
    <w:p>
      <w:pPr>
        <w:pStyle w:val="FirstParagraph"/>
      </w:pPr>
      <w:r>
        <w:rPr>
          <w:bCs/>
          <w:b/>
        </w:rPr>
        <w:t xml:space="preserve">Prepared by:</w:t>
      </w:r>
    </w:p>
    <w:p>
      <w:pPr>
        <w:pStyle w:val="BodyText"/>
      </w:pPr>
      <w:r>
        <w:t xml:space="preserve">Eng. Salem Al Farsi</w:t>
      </w:r>
    </w:p>
    <w:p>
      <w:pPr>
        <w:pStyle w:val="BodyText"/>
      </w:pPr>
      <w:r>
        <w:t xml:space="preserve">Senior Carpenter &amp; Project Manager</w:t>
      </w:r>
    </w:p>
    <w:p>
      <w:pPr>
        <w:pStyle w:val="BodyText"/>
      </w:pPr>
      <w:r>
        <w:t xml:space="preserve">Al Noor Carpentry &amp; Woodwork Solutions LLC</w:t>
      </w:r>
    </w:p>
    <w:p>
      <w:pPr>
        <w:pStyle w:val="BodyText"/>
      </w:pPr>
      <w:r>
        <w:t xml:space="preserve">Signature &amp; Date</w:t>
      </w:r>
    </w:p>
    <w:p>
      <w:pPr>
        <w:pStyle w:val="BodyText"/>
      </w:pPr>
      <w:r>
        <w:rPr>
          <w:bCs/>
          <w:b/>
        </w:rPr>
        <w:t xml:space="preserve">Accepted by (Client):</w:t>
      </w:r>
    </w:p>
    <w:p>
      <w:pPr>
        <w:pStyle w:val="BodyText"/>
      </w:pPr>
      <w:r>
        <w:t xml:space="preserve">Mr. Khalid Al Mansoori</w:t>
      </w:r>
    </w:p>
    <w:p>
      <w:pPr>
        <w:pStyle w:val="BodyText"/>
      </w:pPr>
      <w:r>
        <w:t xml:space="preserve">Mansoori Properties FZE</w:t>
      </w:r>
    </w:p>
    <w:p>
      <w:pPr>
        <w:pStyle w:val="BodyText"/>
      </w:pPr>
      <w:r>
        <w:t xml:space="preserve">United Arab Emirates Abu Dhabi</w:t>
      </w:r>
    </w:p>
    <w:p>
      <w:pPr>
        <w:pStyle w:val="BodyText"/>
      </w:pPr>
      <w:r>
        <w:t xml:space="preserve">Signature &amp; Date</w:t>
      </w:r>
    </w:p>
    <w:p>
      <w:pPr>
        <w:pStyle w:val="BodyText"/>
      </w:pPr>
      <w:r>
        <w:t xml:space="preserve">This Quotation Estimate document was generated by Al Noor Carpentry &amp; Woodwork Solutions LLC, a registered Carpenter services company in United Arab Emirates Abu Dhabi.</w:t>
      </w:r>
    </w:p>
    <w:p>
      <w:pPr>
        <w:pStyle w:val="BodyText"/>
      </w:pPr>
      <w:r>
        <w:t xml:space="preserve">Document Ref: QE-2025-0487 | 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United Arab Emirates Abu Dhabi</dc:title>
  <dc:creator/>
  <dc:language>en</dc:language>
  <cp:keywords/>
  <dcterms:created xsi:type="dcterms:W3CDTF">2026-10-10T03:13:08Z</dcterms:created>
  <dcterms:modified xsi:type="dcterms:W3CDTF">2026-10-10T03:13:08Z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