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Culinary Excellence Services Sdn. Bhd.</w:t>
      </w:r>
    </w:p>
    <w:p>
      <w:pPr>
        <w:pStyle w:val="BodyText"/>
      </w:pPr>
      <w:r>
        <w:t xml:space="preserve">Level 12, Menara KL, Jalan Sultan Ismail, 50250 Malaysia Kuala Lumpur</w:t>
      </w:r>
    </w:p>
    <w:p>
      <w:pPr>
        <w:pStyle w:val="BodyText"/>
      </w:pPr>
      <w:r>
        <w:t xml:space="preserve">Tel: +603-2181-4567 | Email: quotations@culinaryexcellence.my</w:t>
      </w:r>
    </w:p>
    <w:p>
      <w:pPr>
        <w:pStyle w:val="BodyText"/>
      </w:pPr>
      <w:r>
        <w:t xml:space="preserve">Registration No: 201901045678 (K) | SST Reg: 001234567890</w:t>
      </w:r>
    </w:p>
    <w:p>
      <w:pPr>
        <w:pStyle w:val="BodyText"/>
      </w:pPr>
      <w:r>
        <w:t xml:space="preserve">OFFICIAL QUOTATION ESTIMATE</w:t>
      </w:r>
    </w:p>
    <w:bookmarkEnd w:id="20"/>
    <w:p>
      <w:pPr>
        <w:pStyle w:val="BodyText"/>
      </w:pPr>
      <w:r>
        <w:rPr>
          <w:bCs/>
          <w:b/>
        </w:rPr>
        <w:t xml:space="preserve">Quotation Estimate No:</w:t>
      </w:r>
      <w:r>
        <w:t xml:space="preserve"> </w:t>
      </w:r>
      <w:r>
        <w:t xml:space="preserve">QEST-2025-KL-0847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Malaysia Kuala Lumpur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Grand Horizon Hotel &amp; Convention Centre Sdn. Bhd.</w:t>
            </w:r>
          </w:p>
        </w:tc>
      </w:tr>
      <w:tr>
        <w:tc>
          <w:tcPr/>
          <w:p>
            <w:pPr>
              <w:pStyle w:val="Compact"/>
              <w:jc w:val="left"/>
            </w:pPr>
            <w:r>
              <w:rPr>
                <w:bCs/>
                <w:b/>
              </w:rPr>
              <w:t xml:space="preserve">Address:</w:t>
            </w:r>
          </w:p>
        </w:tc>
        <w:tc>
          <w:tcPr/>
          <w:p>
            <w:pPr>
              <w:pStyle w:val="Compact"/>
              <w:jc w:val="left"/>
            </w:pPr>
            <w:r>
              <w:t xml:space="preserve">Tower 3, KLCC, Jalan P. Ramlee, 50450 Malaysia Kuala Lumpur</w:t>
            </w:r>
          </w:p>
        </w:tc>
      </w:tr>
      <w:tr>
        <w:tc>
          <w:tcPr/>
          <w:p>
            <w:pPr>
              <w:pStyle w:val="Compact"/>
              <w:jc w:val="left"/>
            </w:pPr>
            <w:r>
              <w:rPr>
                <w:bCs/>
                <w:b/>
              </w:rPr>
              <w:t xml:space="preserve">Contact Person:</w:t>
            </w:r>
          </w:p>
        </w:tc>
        <w:tc>
          <w:tcPr/>
          <w:p>
            <w:pPr>
              <w:pStyle w:val="Compact"/>
              <w:jc w:val="left"/>
            </w:pPr>
            <w:r>
              <w:t xml:space="preserve">Mr. Tan Wei Ming – Director of Operations</w:t>
            </w:r>
          </w:p>
        </w:tc>
      </w:tr>
      <w:tr>
        <w:tc>
          <w:tcPr/>
          <w:p>
            <w:pPr>
              <w:pStyle w:val="Compact"/>
              <w:jc w:val="left"/>
            </w:pPr>
            <w:r>
              <w:rPr>
                <w:bCs/>
                <w:b/>
              </w:rPr>
              <w:t xml:space="preserve">Email:</w:t>
            </w:r>
          </w:p>
        </w:tc>
        <w:tc>
          <w:tcPr/>
          <w:p>
            <w:pPr>
              <w:pStyle w:val="Compact"/>
              <w:jc w:val="left"/>
            </w:pPr>
            <w:r>
              <w:t xml:space="preserve">operations@grandhorizon.my</w:t>
            </w:r>
          </w:p>
        </w:tc>
      </w:tr>
      <w:tr>
        <w:tc>
          <w:tcPr/>
          <w:p>
            <w:pPr>
              <w:pStyle w:val="Compact"/>
              <w:jc w:val="left"/>
            </w:pPr>
            <w:r>
              <w:rPr>
                <w:bCs/>
                <w:b/>
              </w:rPr>
              <w:t xml:space="preserve">Phone:</w:t>
            </w:r>
          </w:p>
        </w:tc>
        <w:tc>
          <w:tcPr/>
          <w:p>
            <w:pPr>
              <w:pStyle w:val="Compact"/>
              <w:jc w:val="left"/>
            </w:pPr>
            <w:r>
              <w:t xml:space="preserve">+603-2170-8899</w:t>
            </w:r>
          </w:p>
        </w:tc>
      </w:tr>
    </w:tbl>
    <w:bookmarkEnd w:id="21"/>
    <w:bookmarkStart w:id="22" w:name="X43dfd4cc5ce831752b1c67d1dc21dd31c74f76a"/>
    <w:p>
      <w:pPr>
        <w:pStyle w:val="Heading2"/>
      </w:pPr>
      <w:r>
        <w:t xml:space="preserve">2. Scope of Services – Chef Engagement in Malaysia Kuala Lumpur</w:t>
      </w:r>
    </w:p>
    <w:p>
      <w:pPr>
        <w:pStyle w:val="FirstParagraph"/>
      </w:pPr>
      <w:r>
        <w:t xml:space="preserve">This Quotation Estimate is prepared by Culinary Excellence Services Sdn. Bhd. to provide a comprehensive and detailed cost breakdown for the engagement of a professional</w:t>
      </w:r>
      <w:r>
        <w:t xml:space="preserve"> </w:t>
      </w:r>
      <w:r>
        <w:t xml:space="preserve">Chef</w:t>
      </w:r>
      <w:r>
        <w:t xml:space="preserve"> </w:t>
      </w:r>
      <w:r>
        <w:t xml:space="preserve">and supporting culinary team for the Grand Horizon Hotel &amp; Convention Centre. The services described herein are specifically tailored for operations within</w:t>
      </w:r>
      <w:r>
        <w:t xml:space="preserve"> </w:t>
      </w:r>
      <w:r>
        <w:t xml:space="preserve">Malaysia Kuala Lumpur</w:t>
      </w:r>
      <w:r>
        <w:t xml:space="preserve">, taking into account local culinary standards, regulatory requirements under the Department of Standards Malaysia (JAKIM), and the diverse dietary preferences of the clientele in this vibrant metropolitan region.</w:t>
      </w:r>
    </w:p>
    <w:p>
      <w:pPr>
        <w:pStyle w:val="BodyText"/>
      </w:pPr>
      <w:r>
        <w:t xml:space="preserve">The</w:t>
      </w:r>
      <w:r>
        <w:t xml:space="preserve"> </w:t>
      </w:r>
      <w:r>
        <w:t xml:space="preserve">Chef</w:t>
      </w:r>
      <w:r>
        <w:t xml:space="preserve"> </w:t>
      </w:r>
      <w:r>
        <w:t xml:space="preserve">engagement outlined in this Quotation Estimate encompasses the provision of an Executive Chef with a minimum of fifteen (15) years of experience in fine dining, banquet operations, and multi-cuisine menu development. The Chef will be responsible for overseeing all kitchen operations, menu planning, quality control, staff training, and inventory management at the client's premises in Malaysia Kuala Lumpur. This Quotation Estimate reflects the current market rates for Chef services in Malaysia Kuala Lumpur as of June 2025.</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Chef – Full-time engagement (5-day work week, 8 hours/day) including menu development, kitchen supervision, and quality assurance in Malaysia Kuala Lumpur</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Includes EPF &amp; SOCSO</w:t>
            </w:r>
          </w:p>
        </w:tc>
      </w:tr>
      <w:tr>
        <w:tc>
          <w:tcPr/>
          <w:p>
            <w:pPr>
              <w:pStyle w:val="Compact"/>
              <w:jc w:val="left"/>
            </w:pPr>
            <w:r>
              <w:t xml:space="preserve">2</w:t>
            </w:r>
          </w:p>
        </w:tc>
        <w:tc>
          <w:tcPr/>
          <w:p>
            <w:pPr>
              <w:pStyle w:val="Compact"/>
              <w:jc w:val="left"/>
            </w:pPr>
            <w:r>
              <w:t xml:space="preserve">Senior Sous Chef – Assisting the Chef in daily kitchen operations, plating standards, and staff coordination</w:t>
            </w:r>
          </w:p>
        </w:tc>
        <w:tc>
          <w:tcPr/>
          <w:p>
            <w:pPr>
              <w:pStyle w:val="Compact"/>
              <w:jc w:val="left"/>
            </w:pPr>
            <w:r>
              <w:t xml:space="preserve">12 months</w:t>
            </w:r>
          </w:p>
        </w:tc>
        <w:tc>
          <w:tcPr/>
          <w:p>
            <w:pPr>
              <w:pStyle w:val="Compact"/>
              <w:jc w:val="left"/>
            </w:pPr>
            <w:r>
              <w:t xml:space="preserve">9,800 / month</w:t>
            </w:r>
          </w:p>
        </w:tc>
        <w:tc>
          <w:tcPr/>
          <w:p>
            <w:pPr>
              <w:pStyle w:val="Compact"/>
              <w:jc w:val="left"/>
            </w:pPr>
            <w:r>
              <w:t xml:space="preserve">117,600.00</w:t>
            </w:r>
          </w:p>
        </w:tc>
        <w:tc>
          <w:tcPr/>
          <w:p>
            <w:pPr>
              <w:pStyle w:val="Compact"/>
              <w:jc w:val="left"/>
            </w:pPr>
            <w:r>
              <w:t xml:space="preserve">Includes EPF &amp; SOCSO</w:t>
            </w:r>
          </w:p>
        </w:tc>
      </w:tr>
      <w:tr>
        <w:tc>
          <w:tcPr/>
          <w:p>
            <w:pPr>
              <w:pStyle w:val="Compact"/>
              <w:jc w:val="left"/>
            </w:pPr>
            <w:r>
              <w:t xml:space="preserve">3</w:t>
            </w:r>
          </w:p>
        </w:tc>
        <w:tc>
          <w:tcPr/>
          <w:p>
            <w:pPr>
              <w:pStyle w:val="Compact"/>
              <w:jc w:val="left"/>
            </w:pPr>
            <w:r>
              <w:t xml:space="preserve">Pastry Chef – Dedicated pastry and dessert section management, seasonal menu creation for Malaysia Kuala Lumpur events</w:t>
            </w:r>
          </w:p>
        </w:tc>
        <w:tc>
          <w:tcPr/>
          <w:p>
            <w:pPr>
              <w:pStyle w:val="Compact"/>
              <w:jc w:val="left"/>
            </w:pPr>
            <w:r>
              <w:t xml:space="preserve">12 months</w:t>
            </w:r>
          </w:p>
        </w:tc>
        <w:tc>
          <w:tcPr/>
          <w:p>
            <w:pPr>
              <w:pStyle w:val="Compact"/>
              <w:jc w:val="left"/>
            </w:pPr>
            <w:r>
              <w:t xml:space="preserve">8,200 / month</w:t>
            </w:r>
          </w:p>
        </w:tc>
        <w:tc>
          <w:tcPr/>
          <w:p>
            <w:pPr>
              <w:pStyle w:val="Compact"/>
              <w:jc w:val="left"/>
            </w:pPr>
            <w:r>
              <w:t xml:space="preserve">98,400.00</w:t>
            </w:r>
          </w:p>
        </w:tc>
        <w:tc>
          <w:tcPr/>
          <w:p>
            <w:pPr>
              <w:pStyle w:val="Compact"/>
              <w:jc w:val="left"/>
            </w:pPr>
            <w:r>
              <w:t xml:space="preserve">Includes EPF &amp; SOCSO</w:t>
            </w:r>
          </w:p>
        </w:tc>
      </w:tr>
      <w:tr>
        <w:tc>
          <w:tcPr/>
          <w:p>
            <w:pPr>
              <w:pStyle w:val="Compact"/>
              <w:jc w:val="left"/>
            </w:pPr>
            <w:r>
              <w:t xml:space="preserve">4</w:t>
            </w:r>
          </w:p>
        </w:tc>
        <w:tc>
          <w:tcPr/>
          <w:p>
            <w:pPr>
              <w:pStyle w:val="Compact"/>
              <w:jc w:val="left"/>
            </w:pPr>
            <w:r>
              <w:t xml:space="preserve">Chef de Partie (x3) – Station-specific cooking (grill, sauté, garde manger) under the Chef's direct supervision</w:t>
            </w:r>
          </w:p>
        </w:tc>
        <w:tc>
          <w:tcPr/>
          <w:p>
            <w:pPr>
              <w:pStyle w:val="Compact"/>
              <w:jc w:val="left"/>
            </w:pPr>
            <w:r>
              <w:t xml:space="preserve">12 months</w:t>
            </w:r>
          </w:p>
        </w:tc>
        <w:tc>
          <w:tcPr/>
          <w:p>
            <w:pPr>
              <w:pStyle w:val="Compact"/>
              <w:jc w:val="left"/>
            </w:pPr>
            <w:r>
              <w:t xml:space="preserve">5,500 / month each</w:t>
            </w:r>
          </w:p>
        </w:tc>
        <w:tc>
          <w:tcPr/>
          <w:p>
            <w:pPr>
              <w:pStyle w:val="Compact"/>
              <w:jc w:val="left"/>
            </w:pPr>
            <w:r>
              <w:t xml:space="preserve">198,000.00</w:t>
            </w:r>
          </w:p>
        </w:tc>
        <w:tc>
          <w:tcPr/>
          <w:p>
            <w:pPr>
              <w:pStyle w:val="Compact"/>
              <w:jc w:val="left"/>
            </w:pPr>
            <w:r>
              <w:t xml:space="preserve">Includes EPF &amp; SOCSO</w:t>
            </w:r>
          </w:p>
        </w:tc>
      </w:tr>
      <w:tr>
        <w:tc>
          <w:tcPr/>
          <w:p>
            <w:pPr>
              <w:pStyle w:val="Compact"/>
              <w:jc w:val="left"/>
            </w:pPr>
            <w:r>
              <w:t xml:space="preserve">5</w:t>
            </w:r>
          </w:p>
        </w:tc>
        <w:tc>
          <w:tcPr/>
          <w:p>
            <w:pPr>
              <w:pStyle w:val="Compact"/>
              <w:jc w:val="left"/>
            </w:pPr>
            <w:r>
              <w:t xml:space="preserve">Initial Kitchen Audit &amp; Menu Consultation – On-site assessment in Malaysia Kuala Lumpur, competitive analysis, and 90-day menu roadmap</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3-day engagement</w:t>
            </w:r>
          </w:p>
        </w:tc>
      </w:tr>
      <w:tr>
        <w:tc>
          <w:tcPr/>
          <w:p>
            <w:pPr>
              <w:pStyle w:val="Compact"/>
              <w:jc w:val="left"/>
            </w:pPr>
            <w:r>
              <w:t xml:space="preserve">6</w:t>
            </w:r>
          </w:p>
        </w:tc>
        <w:tc>
          <w:tcPr/>
          <w:p>
            <w:pPr>
              <w:pStyle w:val="Compact"/>
              <w:jc w:val="left"/>
            </w:pPr>
            <w:r>
              <w:t xml:space="preserve">Staff Training Programme – Comprehensive culinary training for existing kitchen staff (up to 20 personnel) conducted at the Malaysia Kuala Lumpur premises</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5-day intensive</w:t>
            </w:r>
          </w:p>
        </w:tc>
      </w:tr>
      <w:tr>
        <w:tc>
          <w:tcPr/>
          <w:p>
            <w:pPr>
              <w:pStyle w:val="Compact"/>
              <w:jc w:val="left"/>
            </w:pPr>
            <w:r>
              <w:t xml:space="preserve">7</w:t>
            </w:r>
          </w:p>
        </w:tc>
        <w:tc>
          <w:tcPr/>
          <w:p>
            <w:pPr>
              <w:pStyle w:val="Compact"/>
              <w:jc w:val="left"/>
            </w:pPr>
            <w:r>
              <w:t xml:space="preserve">Special Event Chef Coverage – Additional Chef deployment for up to 12 major events per year (weddings, corporate galas, state functions in Malaysia Kuala Lumpur)</w:t>
            </w:r>
          </w:p>
        </w:tc>
        <w:tc>
          <w:tcPr/>
          <w:p>
            <w:pPr>
              <w:pStyle w:val="Compact"/>
              <w:jc w:val="left"/>
            </w:pPr>
            <w:r>
              <w:t xml:space="preserve">12 months</w:t>
            </w:r>
          </w:p>
        </w:tc>
        <w:tc>
          <w:tcPr/>
          <w:p>
            <w:pPr>
              <w:pStyle w:val="Compact"/>
              <w:jc w:val="left"/>
            </w:pPr>
            <w:r>
              <w:t xml:space="preserve">3,500 / event</w:t>
            </w:r>
          </w:p>
        </w:tc>
        <w:tc>
          <w:tcPr/>
          <w:p>
            <w:pPr>
              <w:pStyle w:val="Compact"/>
              <w:jc w:val="left"/>
            </w:pPr>
            <w:r>
              <w:t xml:space="preserve">42,000.00</w:t>
            </w:r>
          </w:p>
        </w:tc>
        <w:tc>
          <w:tcPr/>
          <w:p>
            <w:pPr>
              <w:pStyle w:val="Compact"/>
              <w:jc w:val="left"/>
            </w:pPr>
            <w:r>
              <w:t xml:space="preserve">Up to 12 events</w:t>
            </w:r>
          </w:p>
        </w:tc>
      </w:tr>
      <w:tr>
        <w:tc>
          <w:tcPr/>
          <w:p>
            <w:pPr>
              <w:pStyle w:val="Compact"/>
              <w:jc w:val="left"/>
            </w:pPr>
            <w:r>
              <w:t xml:space="preserve">8</w:t>
            </w:r>
          </w:p>
        </w:tc>
        <w:tc>
          <w:tcPr/>
          <w:p>
            <w:pPr>
              <w:pStyle w:val="Compact"/>
              <w:jc w:val="left"/>
            </w:pPr>
            <w:r>
              <w:t xml:space="preserve">Travel &amp; Accommodation Allowance – For the Chef and team residing in Malaysia Kuala Lumpur during the contract period</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Shared accommodation</w:t>
            </w:r>
          </w:p>
        </w:tc>
      </w:tr>
      <w:tr>
        <w:tc>
          <w:tcPr/>
          <w:p>
            <w:pPr>
              <w:pStyle w:val="Compact"/>
              <w:jc w:val="left"/>
            </w:pPr>
            <w:r>
              <w:t xml:space="preserve">9</w:t>
            </w:r>
          </w:p>
        </w:tc>
        <w:tc>
          <w:tcPr/>
          <w:p>
            <w:pPr>
              <w:pStyle w:val="Compact"/>
              <w:jc w:val="left"/>
            </w:pPr>
            <w:r>
              <w:t xml:space="preserve">Work Permit &amp; Visa Processing – For foreign Chef personnel, including immigration fees, medical checks, and compliance with Malaysian employment law</w:t>
            </w:r>
          </w:p>
        </w:tc>
        <w:tc>
          <w:tcPr/>
          <w:p>
            <w:pPr>
              <w:pStyle w:val="Compact"/>
              <w:jc w:val="left"/>
            </w:pPr>
            <w:r>
              <w:t xml:space="preserve">One-time</w:t>
            </w:r>
          </w:p>
        </w:tc>
        <w:tc>
          <w:tcPr/>
          <w:p>
            <w:pPr>
              <w:pStyle w:val="Compact"/>
              <w:jc w:val="left"/>
            </w:pPr>
            <w:r>
              <w:t xml:space="preserve">6,800</w:t>
            </w:r>
          </w:p>
        </w:tc>
        <w:tc>
          <w:tcPr/>
          <w:p>
            <w:pPr>
              <w:pStyle w:val="Compact"/>
              <w:jc w:val="left"/>
            </w:pPr>
            <w:r>
              <w:t xml:space="preserve">6,800.00</w:t>
            </w:r>
          </w:p>
        </w:tc>
        <w:tc>
          <w:tcPr/>
          <w:p>
            <w:pPr>
              <w:pStyle w:val="Compact"/>
              <w:jc w:val="left"/>
            </w:pPr>
            <w:r>
              <w:t xml:space="preserve">Up to 4 permits</w:t>
            </w:r>
          </w:p>
        </w:tc>
      </w:tr>
      <w:tr>
        <w:tc>
          <w:tcPr/>
          <w:p>
            <w:pPr>
              <w:pStyle w:val="Compact"/>
              <w:jc w:val="left"/>
            </w:pPr>
            <w:r>
              <w:t xml:space="preserve">10</w:t>
            </w:r>
          </w:p>
        </w:tc>
        <w:tc>
          <w:tcPr/>
          <w:p>
            <w:pPr>
              <w:pStyle w:val="Compact"/>
              <w:jc w:val="left"/>
            </w:pPr>
            <w:r>
              <w:t xml:space="preserve">Management &amp; Supervision Fee – Ongoing project management, performance reviews, and liaison with client management in Malaysia Kuala Lumpur</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60,000.00</w:t>
            </w:r>
          </w:p>
        </w:tc>
        <w:tc>
          <w:tcPr/>
          <w:p>
            <w:pPr>
              <w:pStyle w:val="Compact"/>
              <w:jc w:val="left"/>
            </w:pPr>
            <w:r>
              <w:t xml:space="preserve">Monthly reporting</w:t>
            </w:r>
          </w:p>
        </w:tc>
      </w:tr>
      <w:tr>
        <w:tc>
          <w:tcPr>
            <w:gridSpan w:val="4"/>
          </w:tcPr>
          <w:p>
            <w:pPr>
              <w:pStyle w:val="Compact"/>
              <w:jc w:val="right"/>
            </w:pPr>
            <w:r>
              <w:t xml:space="preserve">Subtotal (MYR)</w:t>
            </w:r>
          </w:p>
        </w:tc>
        <w:tc>
          <w:tcPr/>
          <w:p>
            <w:pPr>
              <w:pStyle w:val="Compact"/>
              <w:jc w:val="left"/>
            </w:pPr>
            <w:r>
              <w:t xml:space="preserve">815,700.00</w:t>
            </w:r>
          </w:p>
        </w:tc>
        <w:tc>
          <w:tcPr/>
          <w:p>
            <w:pPr>
              <w:pStyle w:val="Compact"/>
            </w:pPr>
          </w:p>
        </w:tc>
      </w:tr>
      <w:tr>
        <w:tc>
          <w:tcPr>
            <w:gridSpan w:val="4"/>
          </w:tcPr>
          <w:p>
            <w:pPr>
              <w:pStyle w:val="Compact"/>
              <w:jc w:val="right"/>
            </w:pPr>
            <w:r>
              <w:t xml:space="preserve">SST @ 6%</w:t>
            </w:r>
          </w:p>
        </w:tc>
        <w:tc>
          <w:tcPr/>
          <w:p>
            <w:pPr>
              <w:pStyle w:val="Compact"/>
              <w:jc w:val="left"/>
            </w:pPr>
            <w:r>
              <w:t xml:space="preserve">48,942.00</w:t>
            </w:r>
          </w:p>
        </w:tc>
        <w:tc>
          <w:tcPr/>
          <w:p>
            <w:pPr>
              <w:pStyle w:val="Compact"/>
            </w:pPr>
          </w:p>
        </w:tc>
      </w:tr>
      <w:tr>
        <w:tc>
          <w:tcPr>
            <w:gridSpan w:val="4"/>
          </w:tcPr>
          <w:p>
            <w:pPr>
              <w:pStyle w:val="Compact"/>
              <w:jc w:val="right"/>
            </w:pPr>
            <w:r>
              <w:t xml:space="preserve">TOTAL QUOTATION ESTIMATE (MYR)</w:t>
            </w:r>
          </w:p>
        </w:tc>
        <w:tc>
          <w:tcPr/>
          <w:p>
            <w:pPr>
              <w:pStyle w:val="Compact"/>
              <w:jc w:val="left"/>
            </w:pPr>
            <w:r>
              <w:t xml:space="preserve">864,642.00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days from the date of issue. Beyond this period, the rates for Chef services in Malaysia Kuala Lumpur may be subject to revision based on market conditions and currency fluctuations.</w:t>
      </w:r>
    </w:p>
    <w:p>
      <w:pPr>
        <w:numPr>
          <w:ilvl w:val="0"/>
          <w:numId w:val="1001"/>
        </w:numPr>
        <w:pStyle w:val="Compact"/>
      </w:pPr>
      <w:r>
        <w:t xml:space="preserve">Payment terms: 40% advance payment upon acceptance of this Quotation Estimate, 40% upon commencement of the Chef engagement, and 20% upon successful completion of the twelve-month contract period.</w:t>
      </w:r>
    </w:p>
    <w:p>
      <w:pPr>
        <w:numPr>
          <w:ilvl w:val="0"/>
          <w:numId w:val="1001"/>
        </w:numPr>
        <w:pStyle w:val="Compact"/>
      </w:pPr>
      <w:r>
        <w:t xml:space="preserve">All payments shall be made in Malaysian Ringgit (MYR) via bank transfer to the account designated by Culinary Excellence Services Sdn. Bhd. in Malaysia Kuala Lumpur.</w:t>
      </w:r>
    </w:p>
    <w:p>
      <w:pPr>
        <w:numPr>
          <w:ilvl w:val="0"/>
          <w:numId w:val="1001"/>
        </w:numPr>
        <w:pStyle w:val="Compact"/>
      </w:pPr>
      <w:r>
        <w:t xml:space="preserve">The Chef and all supporting culinary staff shall comply with all applicable Malaysian food safety regulations, including those enforced by the Ministry of Health Malaysia and the local authority of Kuala Lumpur City Hall (DBKL).</w:t>
      </w:r>
    </w:p>
    <w:p>
      <w:pPr>
        <w:numPr>
          <w:ilvl w:val="0"/>
          <w:numId w:val="1001"/>
        </w:numPr>
        <w:pStyle w:val="Compact"/>
      </w:pPr>
      <w:r>
        <w:t xml:space="preserve">Any additional services beyond the scope defined in this Quotation Estimate shall be subject to a separate written amendment and additional Quotation Estimate.</w:t>
      </w:r>
    </w:p>
    <w:p>
      <w:pPr>
        <w:numPr>
          <w:ilvl w:val="0"/>
          <w:numId w:val="1001"/>
        </w:numPr>
        <w:pStyle w:val="Compact"/>
      </w:pPr>
      <w:r>
        <w:t xml:space="preserve">The client reserves the right to terminate the Chef engagement with a thirty (30) day written notice. In such cases, a pro-rata charge shall apply for the remaining period.</w:t>
      </w:r>
    </w:p>
    <w:p>
      <w:pPr>
        <w:numPr>
          <w:ilvl w:val="0"/>
          <w:numId w:val="1001"/>
        </w:numPr>
        <w:pStyle w:val="Compact"/>
      </w:pPr>
      <w:r>
        <w:t xml:space="preserve">This Quotation Estimate does not include the cost of raw materials, kitchen equipment, or consumables, which shall be borne separately by the client.</w:t>
      </w:r>
    </w:p>
    <w:p>
      <w:pPr>
        <w:numPr>
          <w:ilvl w:val="0"/>
          <w:numId w:val="1001"/>
        </w:numPr>
        <w:pStyle w:val="Compact"/>
      </w:pPr>
      <w:r>
        <w:t xml:space="preserve">All Chef personnel engaged under this Quotation Estimate shall maintain valid medical fitness certificates and food handler licenses as required by Malaysian law.</w:t>
      </w:r>
    </w:p>
    <w:p>
      <w:pPr>
        <w:numPr>
          <w:ilvl w:val="0"/>
          <w:numId w:val="1001"/>
        </w:numPr>
        <w:pStyle w:val="Compact"/>
      </w:pPr>
      <w:r>
        <w:t xml:space="preserve">Disputes arising from this Quotation Estimate shall be resolved through arbitration in Malaysia Kuala Lumpur in accordance with the Arbitration Act 2005 of Malaysia.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Chef services to be rendered in Malaysia Kuala Lumpur. This signature constitutes a binding agreement between both parties for the duration specified herein.</w:t>
      </w:r>
    </w:p>
    <w:p>
      <w:pPr>
        <w:pStyle w:val="BodyText"/>
      </w:pPr>
      <w:r>
        <w:rPr>
          <w:bCs/>
          <w:b/>
        </w:rPr>
        <w:t xml:space="preserve">For and on behalf of:</w:t>
      </w:r>
      <w:r>
        <w:br/>
      </w:r>
      <w:r>
        <w:t xml:space="preserve">Culinary Excellence Services Sdn. Bhd.</w:t>
      </w:r>
      <w:r>
        <w:br/>
      </w:r>
      <w:r>
        <w:t xml:space="preserve">Name:</w:t>
      </w:r>
      <w:r>
        <w:t xml:space="preserve"> </w:t>
      </w:r>
      <w:r>
        <w:rPr>
          <w:u w:val="single"/>
        </w:rPr>
        <w:t xml:space="preserve">________________________</w:t>
      </w:r>
      <w:r>
        <w:br/>
      </w:r>
      <w:r>
        <w:t xml:space="preserve">Designation: Managing Director</w:t>
      </w:r>
      <w:r>
        <w:br/>
      </w:r>
      <w:r>
        <w:t xml:space="preserve">Date:</w:t>
      </w:r>
      <w:r>
        <w:t xml:space="preserve"> </w:t>
      </w:r>
      <w:r>
        <w:rPr>
          <w:u w:val="single"/>
        </w:rPr>
        <w:t xml:space="preserve">________________________</w:t>
      </w:r>
    </w:p>
    <w:p>
      <w:pPr>
        <w:pStyle w:val="BodyText"/>
      </w:pPr>
      <w:r>
        <w:rPr>
          <w:bCs/>
          <w:b/>
        </w:rPr>
        <w:t xml:space="preserve">Accepted by (Client):</w:t>
      </w:r>
      <w:r>
        <w:br/>
      </w:r>
      <w:r>
        <w:t xml:space="preserve">Grand Horizon Hotel &amp; Convention Centre Sdn. Bhd.</w:t>
      </w:r>
      <w:r>
        <w:br/>
      </w:r>
      <w:r>
        <w:t xml:space="preserve">Name:</w:t>
      </w:r>
      <w:r>
        <w:t xml:space="preserve"> </w:t>
      </w:r>
      <w:r>
        <w:rPr>
          <w:u w:val="single"/>
        </w:rPr>
        <w:t xml:space="preserve">________________________</w:t>
      </w:r>
      <w:r>
        <w:br/>
      </w:r>
      <w:r>
        <w:t xml:space="preserve">Designation: Director of Operations</w:t>
      </w:r>
      <w:r>
        <w:br/>
      </w:r>
      <w:r>
        <w:t xml:space="preserve">Date:</w:t>
      </w:r>
      <w:r>
        <w:t xml:space="preserve"> </w:t>
      </w:r>
      <w:r>
        <w:rPr>
          <w:u w:val="single"/>
        </w:rPr>
        <w:t xml:space="preserve">________________________</w:t>
      </w:r>
    </w:p>
    <w:p>
      <w:pPr>
        <w:pStyle w:val="BodyText"/>
      </w:pPr>
      <w:r>
        <w:t xml:space="preserve">This Quotation Estimate document (Ref: QEST-2025-KL-0847) is issued by Culinary Excellence Services Sdn. Bhd., Malaysia Kuala Lumpur. All Chef service engagements described herein are subject to the terms stated above. For inquiries regarding this Quotation Estimate, please contact our Malaysia Kuala Lumpur office at +603-2181-4567 or quotations@culinaryexcellence.my.</w:t>
      </w:r>
    </w:p>
    <w:p>
      <w:pPr>
        <w:pStyle w:val="BodyText"/>
      </w:pPr>
      <w:r>
        <w:t xml:space="preserve">© 2025 Culinary Excellence Services Sdn. Bhd. All Rights Reserved. | Malaysia Kuala Lumpur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Malaysia Kuala Lumpur</dc:title>
  <dc:creator/>
  <dc:language>en</dc:language>
  <cp:keywords/>
  <dcterms:created xsi:type="dcterms:W3CDTF">2026-10-10T03:09:39Z</dcterms:created>
  <dcterms:modified xsi:type="dcterms:W3CDTF">2026-10-10T03:09:39Z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