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Chef Services — Russia Moscow</w:t>
      </w:r>
    </w:p>
    <w:p>
      <w:pPr>
        <w:pStyle w:val="BodyText"/>
      </w:pPr>
      <w:r>
        <w:t xml:space="preserve">Culinary Excellence for Distinguished Clients Across the Capital of Russia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QTE-MOW-2025-04871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Service Location</w:t>
            </w:r>
          </w:p>
        </w:tc>
        <w:tc>
          <w:tcPr>
            <w:gridSpan w:val="3"/>
          </w:tcPr>
          <w:p>
            <w:pPr>
              <w:pStyle w:val="Compact"/>
              <w:jc w:val="left"/>
            </w:pPr>
            <w:r>
              <w:t xml:space="preserve">Moscow, Russia — Private Residence / Corporate Venue / Event Site (as specified by Client)</w:t>
            </w:r>
          </w:p>
        </w:tc>
      </w:tr>
      <w:tr>
        <w:tc>
          <w:tcPr/>
          <w:p>
            <w:pPr>
              <w:pStyle w:val="Compact"/>
              <w:jc w:val="left"/>
            </w:pPr>
            <w:r>
              <w:t xml:space="preserve">Prepared By</w:t>
            </w:r>
          </w:p>
        </w:tc>
        <w:tc>
          <w:tcPr/>
          <w:p>
            <w:pPr>
              <w:pStyle w:val="Compact"/>
              <w:jc w:val="left"/>
            </w:pPr>
            <w:r>
              <w:t xml:space="preserve">Mr. Alexander Volkov, Director of Culinary Operations</w:t>
            </w:r>
          </w:p>
        </w:tc>
        <w:tc>
          <w:tcPr/>
          <w:p>
            <w:pPr>
              <w:pStyle w:val="Compact"/>
              <w:jc w:val="left"/>
            </w:pPr>
            <w:r>
              <w:t xml:space="preserve">Contact</w:t>
            </w:r>
          </w:p>
        </w:tc>
        <w:tc>
          <w:tcPr/>
          <w:p>
            <w:pPr>
              <w:pStyle w:val="Compact"/>
              <w:jc w:val="left"/>
            </w:pPr>
            <w:r>
              <w:t xml:space="preserve">+7 (495) 234-8812 | a.volkov@chefmoscow.ru</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Mr. Dmitry S. Kuznetsov</w:t>
            </w:r>
          </w:p>
        </w:tc>
      </w:tr>
      <w:tr>
        <w:tc>
          <w:tcPr/>
          <w:p>
            <w:pPr>
              <w:pStyle w:val="Compact"/>
              <w:jc w:val="left"/>
            </w:pPr>
            <w:r>
              <w:t xml:space="preserve">Address</w:t>
            </w:r>
          </w:p>
        </w:tc>
        <w:tc>
          <w:tcPr/>
          <w:p>
            <w:pPr>
              <w:pStyle w:val="Compact"/>
              <w:jc w:val="left"/>
            </w:pPr>
            <w:r>
              <w:t xml:space="preserve">12, Tverskaya Street, Apt. 47, Moscow, 125009, Russia</w:t>
            </w:r>
          </w:p>
        </w:tc>
      </w:tr>
      <w:tr>
        <w:tc>
          <w:tcPr/>
          <w:p>
            <w:pPr>
              <w:pStyle w:val="Compact"/>
              <w:jc w:val="left"/>
            </w:pPr>
            <w:r>
              <w:t xml:space="preserve">Event / Engagement</w:t>
            </w:r>
          </w:p>
        </w:tc>
        <w:tc>
          <w:tcPr/>
          <w:p>
            <w:pPr>
              <w:pStyle w:val="Compact"/>
              <w:jc w:val="left"/>
            </w:pPr>
            <w:r>
              <w:t xml:space="preserve">Private Chef Engagement — 12-Week Residential Service with Weekly Corporate Catering</w:t>
            </w:r>
          </w:p>
        </w:tc>
      </w:tr>
    </w:tbl>
    <w:bookmarkEnd w:id="21"/>
    <w:bookmarkStart w:id="22" w:name="scope-of-chef-services-in-russia-moscow"/>
    <w:p>
      <w:pPr>
        <w:pStyle w:val="Heading2"/>
      </w:pPr>
      <w:r>
        <w:t xml:space="preserve">2. Scope of Chef Services in Russia Moscow</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ChefMoscow Culinary Partners LLC</w:t>
      </w:r>
      <w:r>
        <w:t xml:space="preserve">, a registered entity operating under the laws of the Russian Federation, to provide comprehensive</w:t>
      </w:r>
      <w:r>
        <w:t xml:space="preserve"> </w:t>
      </w:r>
      <w:r>
        <w:t xml:space="preserve">Chef</w:t>
      </w:r>
      <w:r>
        <w:t xml:space="preserve"> </w:t>
      </w:r>
      <w:r>
        <w:t xml:space="preserve">services within the city of</w:t>
      </w:r>
      <w:r>
        <w:t xml:space="preserve"> </w:t>
      </w:r>
      <w:r>
        <w:t xml:space="preserve">Russia Moscow</w:t>
      </w:r>
      <w:r>
        <w:t xml:space="preserve"> </w:t>
      </w:r>
      <w:r>
        <w:t xml:space="preserve">and its immediate metropolitan area. The engagement encompasses the assignment of a senior private</w:t>
      </w:r>
      <w:r>
        <w:t xml:space="preserve"> </w:t>
      </w:r>
      <w:r>
        <w:t xml:space="preserve">Chef</w:t>
      </w:r>
      <w:r>
        <w:t xml:space="preserve">, a sous-chef, and a culinary assistant to deliver bespoke menu planning, ingredient procurement from approved Moscow markets and suppliers, full kitchen preparation, plating, and service execution. All</w:t>
      </w:r>
      <w:r>
        <w:t xml:space="preserve"> </w:t>
      </w:r>
      <w:r>
        <w:t xml:space="preserve">Chef</w:t>
      </w:r>
      <w:r>
        <w:t xml:space="preserve"> </w:t>
      </w:r>
      <w:r>
        <w:t xml:space="preserve">personnel hold valid Russian work permits, food safety certifications issued by Rospotrebnadzor, and a minimum of twelve years of professional experience in fine-dining and private-residence kitchens.</w:t>
      </w:r>
    </w:p>
    <w:p>
      <w:pPr>
        <w:pStyle w:val="BodyText"/>
      </w:pPr>
      <w:r>
        <w:t xml:space="preserve">The</w:t>
      </w:r>
      <w:r>
        <w:t xml:space="preserve"> </w:t>
      </w:r>
      <w:r>
        <w:t xml:space="preserve">Chef</w:t>
      </w:r>
      <w:r>
        <w:t xml:space="preserve"> </w:t>
      </w:r>
      <w:r>
        <w:t xml:space="preserve">team will operate from the client's designated kitchen facility in central Moscow, adhering to all municipal health and sanitation regulations applicable to residential and commercial food preparation in the city. Weekly menu consultations will be conducted in person at the client's residence, and all dietary preferences, cultural considerations, and special occasion requirements specific to the</w:t>
      </w:r>
      <w:r>
        <w:t xml:space="preserve"> </w:t>
      </w:r>
      <w:r>
        <w:t xml:space="preserve">Russia Moscow</w:t>
      </w:r>
      <w:r>
        <w:t xml:space="preserve"> </w:t>
      </w:r>
      <w:r>
        <w:t xml:space="preserve">social calendar will be incorporated into the service plan.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Private Chef — full-time residential engagement (5 days/week, 10 hrs/day) including menu design, cooking, and table service in Moscow</w:t>
            </w:r>
          </w:p>
        </w:tc>
        <w:tc>
          <w:tcPr/>
          <w:p>
            <w:pPr>
              <w:pStyle w:val="Compact"/>
              <w:jc w:val="left"/>
            </w:pPr>
            <w:r>
              <w:t xml:space="preserve">12 weeks</w:t>
            </w:r>
          </w:p>
        </w:tc>
        <w:tc>
          <w:tcPr/>
          <w:p>
            <w:pPr>
              <w:pStyle w:val="Compact"/>
              <w:jc w:val="left"/>
            </w:pPr>
            <w:r>
              <w:t xml:space="preserve">185,000 / week</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Sous-Chef — supporting kitchen operations, prep, and plating assistance</w:t>
            </w:r>
          </w:p>
        </w:tc>
        <w:tc>
          <w:tcPr/>
          <w:p>
            <w:pPr>
              <w:pStyle w:val="Compact"/>
              <w:jc w:val="left"/>
            </w:pPr>
            <w:r>
              <w:t xml:space="preserve">12 weeks</w:t>
            </w:r>
          </w:p>
        </w:tc>
        <w:tc>
          <w:tcPr/>
          <w:p>
            <w:pPr>
              <w:pStyle w:val="Compact"/>
              <w:jc w:val="left"/>
            </w:pPr>
            <w:r>
              <w:t xml:space="preserve">95,000 / week</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Culinary Assistant / Kitchen Porter — cleaning, inventory, and supplier coordination</w:t>
            </w:r>
          </w:p>
        </w:tc>
        <w:tc>
          <w:tcPr/>
          <w:p>
            <w:pPr>
              <w:pStyle w:val="Compact"/>
              <w:jc w:val="left"/>
            </w:pPr>
            <w:r>
              <w:t xml:space="preserve">12 weeks</w:t>
            </w:r>
          </w:p>
        </w:tc>
        <w:tc>
          <w:tcPr/>
          <w:p>
            <w:pPr>
              <w:pStyle w:val="Compact"/>
              <w:jc w:val="left"/>
            </w:pPr>
            <w:r>
              <w:t xml:space="preserve">52,000 / week</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Weekly Corporate Catering Event (Friday, 25 guests) — Chef-led three-course dinner at client's office, Moscow</w:t>
            </w:r>
          </w:p>
        </w:tc>
        <w:tc>
          <w:tcPr/>
          <w:p>
            <w:pPr>
              <w:pStyle w:val="Compact"/>
              <w:jc w:val="left"/>
            </w:pPr>
            <w:r>
              <w:t xml:space="preserve">12 events</w:t>
            </w:r>
          </w:p>
        </w:tc>
        <w:tc>
          <w:tcPr/>
          <w:p>
            <w:pPr>
              <w:pStyle w:val="Compact"/>
              <w:jc w:val="left"/>
            </w:pPr>
            <w:r>
              <w:t xml:space="preserve">148,000 / event</w:t>
            </w:r>
          </w:p>
        </w:tc>
        <w:tc>
          <w:tcPr/>
          <w:p>
            <w:pPr>
              <w:pStyle w:val="Compact"/>
              <w:jc w:val="left"/>
            </w:pPr>
            <w:r>
              <w:t xml:space="preserve">1,776,000</w:t>
            </w:r>
          </w:p>
        </w:tc>
      </w:tr>
      <w:tr>
        <w:tc>
          <w:tcPr/>
          <w:p>
            <w:pPr>
              <w:pStyle w:val="Compact"/>
              <w:jc w:val="left"/>
            </w:pPr>
            <w:r>
              <w:t xml:space="preserve">5</w:t>
            </w:r>
          </w:p>
        </w:tc>
        <w:tc>
          <w:tcPr/>
          <w:p>
            <w:pPr>
              <w:pStyle w:val="Compact"/>
              <w:jc w:val="left"/>
            </w:pPr>
            <w:r>
              <w:t xml:space="preserve">Premium Ingredient Procurement — weekly sourcing from Moscow markets (Detsky, Tsitsin) and approved import suppliers; includes organic produce, Russian caviar, and seasonal game</w:t>
            </w:r>
          </w:p>
        </w:tc>
        <w:tc>
          <w:tcPr/>
          <w:p>
            <w:pPr>
              <w:pStyle w:val="Compact"/>
              <w:jc w:val="left"/>
            </w:pPr>
            <w:r>
              <w:t xml:space="preserve">12 weeks</w:t>
            </w:r>
          </w:p>
        </w:tc>
        <w:tc>
          <w:tcPr/>
          <w:p>
            <w:pPr>
              <w:pStyle w:val="Compact"/>
              <w:jc w:val="left"/>
            </w:pPr>
            <w:r>
              <w:t xml:space="preserve">120,000 / week</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Special Occasion Chef Service — one full-day event (New Year's Eve gala, 60 guests) with live cooking stations and wine pairing</w:t>
            </w:r>
          </w:p>
        </w:tc>
        <w:tc>
          <w:tcPr/>
          <w:p>
            <w:pPr>
              <w:pStyle w:val="Compact"/>
              <w:jc w:val="left"/>
            </w:pPr>
            <w:r>
              <w:t xml:space="preserve">1 event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Kitchen Equipment Rental — induction range, convection oven, professional mixer, and cold-storage unit delivered to Moscow residence</w:t>
            </w:r>
          </w:p>
        </w:tc>
        <w:tc>
          <w:tcPr/>
          <w:p>
            <w:pPr>
              <w:pStyle w:val="Compact"/>
              <w:jc w:val="left"/>
            </w:pPr>
            <w:r>
              <w:t xml:space="preserve">12 weeks</w:t>
            </w:r>
          </w:p>
        </w:tc>
        <w:tc>
          <w:tcPr/>
          <w:p>
            <w:pPr>
              <w:pStyle w:val="Compact"/>
              <w:jc w:val="left"/>
            </w:pPr>
            <w:r>
              <w:t xml:space="preserve">38,000 / week</w:t>
            </w:r>
          </w:p>
        </w:tc>
        <w:tc>
          <w:tcPr/>
          <w:p>
            <w:pPr>
              <w:pStyle w:val="Compact"/>
              <w:jc w:val="left"/>
            </w:pPr>
            <w:r>
              <w:t xml:space="preserve">456,000</w:t>
            </w:r>
          </w:p>
        </w:tc>
      </w:tr>
      <w:tr>
        <w:tc>
          <w:tcPr/>
          <w:p>
            <w:pPr>
              <w:pStyle w:val="Compact"/>
              <w:jc w:val="left"/>
            </w:pPr>
            <w:r>
              <w:t xml:space="preserve">8</w:t>
            </w:r>
          </w:p>
        </w:tc>
        <w:tc>
          <w:tcPr/>
          <w:p>
            <w:pPr>
              <w:pStyle w:val="Compact"/>
              <w:jc w:val="left"/>
            </w:pPr>
            <w:r>
              <w:t xml:space="preserve">Administrative &amp; Compliance Fees — Rospotrebnadzor registration, insurance for Chef staff, visa/work-permit processing, and Moscow municipal permits</w:t>
            </w:r>
          </w:p>
        </w:tc>
        <w:tc>
          <w:tcPr/>
          <w:p>
            <w:pPr>
              <w:pStyle w:val="Compact"/>
              <w:jc w:val="left"/>
            </w:pPr>
            <w:r>
              <w:t xml:space="preserve">Flat</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 (RUB)</w:t>
            </w:r>
          </w:p>
        </w:tc>
        <w:tc>
          <w:tcPr/>
          <w:p>
            <w:pPr>
              <w:pStyle w:val="Compact"/>
              <w:jc w:val="left"/>
            </w:pPr>
            <w:r>
              <w:t xml:space="preserve">8,321,000</w:t>
            </w:r>
          </w:p>
        </w:tc>
      </w:tr>
      <w:tr>
        <w:tc>
          <w:tcPr>
            <w:gridSpan w:val="4"/>
          </w:tcPr>
          <w:p>
            <w:pPr>
              <w:pStyle w:val="Compact"/>
              <w:jc w:val="right"/>
            </w:pPr>
            <w:r>
              <w:t xml:space="preserve">VAT 20% (Russia)</w:t>
            </w:r>
          </w:p>
        </w:tc>
        <w:tc>
          <w:tcPr/>
          <w:p>
            <w:pPr>
              <w:pStyle w:val="Compact"/>
              <w:jc w:val="left"/>
            </w:pPr>
            <w:r>
              <w:t xml:space="preserve">1,664,200</w:t>
            </w:r>
          </w:p>
        </w:tc>
      </w:tr>
      <w:tr>
        <w:tc>
          <w:tcPr>
            <w:gridSpan w:val="4"/>
          </w:tcPr>
          <w:p>
            <w:pPr>
              <w:pStyle w:val="Compact"/>
              <w:jc w:val="right"/>
            </w:pPr>
            <w:r>
              <w:t xml:space="preserve">GRAND TOTAL (RUB)</w:t>
            </w:r>
          </w:p>
        </w:tc>
        <w:tc>
          <w:tcPr/>
          <w:p>
            <w:pPr>
              <w:pStyle w:val="Compact"/>
              <w:jc w:val="left"/>
            </w:pPr>
            <w:r>
              <w:t xml:space="preserve">9,985,200</w:t>
            </w:r>
          </w:p>
        </w:tc>
      </w:tr>
      <w:tr>
        <w:tc>
          <w:tcPr>
            <w:gridSpan w:val="4"/>
          </w:tcPr>
          <w:p>
            <w:pPr>
              <w:pStyle w:val="Compact"/>
              <w:jc w:val="right"/>
            </w:pPr>
            <w:r>
              <w:t xml:space="preserve">GRAND TOTAL (USD, approx. at 92 RUB/USD)</w:t>
            </w:r>
          </w:p>
        </w:tc>
        <w:tc>
          <w:tcPr/>
          <w:p>
            <w:pPr>
              <w:pStyle w:val="Compact"/>
              <w:jc w:val="left"/>
            </w:pPr>
            <w:r>
              <w:t xml:space="preserve">≈ 108,535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for</w:t>
      </w:r>
      <w:r>
        <w:t xml:space="preserve"> </w:t>
      </w:r>
      <w:r>
        <w:t xml:space="preserve">Chef</w:t>
      </w:r>
      <w:r>
        <w:t xml:space="preserve"> </w:t>
      </w:r>
      <w:r>
        <w:t xml:space="preserve">services in</w:t>
      </w:r>
      <w:r>
        <w:t xml:space="preserve"> </w:t>
      </w:r>
      <w:r>
        <w:t xml:space="preserve">Russia Moscow</w:t>
      </w:r>
      <w:r>
        <w:t xml:space="preserve"> </w:t>
      </w:r>
      <w:r>
        <w:t xml:space="preserve">are subject to revision based on prevailing market conditions, seasonal ingredient pricing, and applicable tax regulations of the Russian Federation.</w:t>
      </w:r>
    </w:p>
    <w:p>
      <w:pPr>
        <w:numPr>
          <w:ilvl w:val="0"/>
          <w:numId w:val="1001"/>
        </w:numPr>
        <w:pStyle w:val="Compact"/>
      </w:pPr>
      <w:r>
        <w:t xml:space="preserve">Payment terms: 40% advance payment upon acceptance of this quotation, 30% due at the commencement of Week 5, and the remaining 30% due within seven (7) business days following the final service day. All payments shall be made in Russian Rubles via bank transfer to the account of ChefMoscow Culinary Partners LLC, Moscow, Russia.</w:t>
      </w:r>
    </w:p>
    <w:p>
      <w:pPr>
        <w:numPr>
          <w:ilvl w:val="0"/>
          <w:numId w:val="1001"/>
        </w:numPr>
        <w:pStyle w:val="Compact"/>
      </w:pPr>
      <w:r>
        <w:t xml:space="preserve">The</w:t>
      </w:r>
      <w:r>
        <w:t xml:space="preserve"> </w:t>
      </w:r>
      <w:r>
        <w:t xml:space="preserve">Chef</w:t>
      </w:r>
      <w:r>
        <w:t xml:space="preserve"> </w:t>
      </w:r>
      <w:r>
        <w:t xml:space="preserve">team shall comply with all labor laws of the Russian Federation, including the Labor Code of the Russian Federation (Trudovoy Kodeks RF), and shall be covered by mandatory social insurance and professional liability insurance for the full duration of the engagement.</w:t>
      </w:r>
    </w:p>
    <w:p>
      <w:pPr>
        <w:numPr>
          <w:ilvl w:val="0"/>
          <w:numId w:val="1001"/>
        </w:numPr>
        <w:pStyle w:val="Compact"/>
      </w:pPr>
      <w:r>
        <w:t xml:space="preserve">Any change in scope, additional events, or extension of the</w:t>
      </w:r>
      <w:r>
        <w:t xml:space="preserve"> </w:t>
      </w:r>
      <w:r>
        <w:t xml:space="preserve">Chef</w:t>
      </w:r>
      <w:r>
        <w:t xml:space="preserve"> </w:t>
      </w:r>
      <w:r>
        <w:t xml:space="preserve">engagement beyond the twelve-week period outlined herein shall require a written amendment to this</w:t>
      </w:r>
      <w:r>
        <w:t xml:space="preserve"> </w:t>
      </w:r>
      <w:r>
        <w:t xml:space="preserve">Quotation Estimate</w:t>
      </w:r>
      <w:r>
        <w:t xml:space="preserve">, signed by both parties.</w:t>
      </w:r>
    </w:p>
    <w:p>
      <w:pPr>
        <w:numPr>
          <w:ilvl w:val="0"/>
          <w:numId w:val="1001"/>
        </w:numPr>
        <w:pStyle w:val="Compact"/>
      </w:pPr>
      <w:r>
        <w:t xml:space="preserve">Cancellation by the Client prior to the start of service incurs a fee of 25% of the total quoted amount. Cancellation during the engagement period incurs a fee of 15% of the remaining unperformed service value.</w:t>
      </w:r>
    </w:p>
    <w:p>
      <w:pPr>
        <w:numPr>
          <w:ilvl w:val="0"/>
          <w:numId w:val="1001"/>
        </w:numPr>
        <w:pStyle w:val="Compact"/>
      </w:pPr>
      <w:r>
        <w:t xml:space="preserve">All menus, recipes, and culinary concepts developed by the</w:t>
      </w:r>
      <w:r>
        <w:t xml:space="preserve"> </w:t>
      </w:r>
      <w:r>
        <w:t xml:space="preserve">Chef</w:t>
      </w:r>
      <w:r>
        <w:t xml:space="preserve"> </w:t>
      </w:r>
      <w:r>
        <w:t xml:space="preserve">team during this engagement in</w:t>
      </w:r>
      <w:r>
        <w:t xml:space="preserve"> </w:t>
      </w:r>
      <w:r>
        <w:t xml:space="preserve">Russia Moscow</w:t>
      </w:r>
      <w:r>
        <w:t xml:space="preserve"> </w:t>
      </w:r>
      <w:r>
        <w:t xml:space="preserve">shall remain the intellectual property of ChefMoscow Culinary Partners LLC unless otherwise agreed in writing.</w:t>
      </w:r>
    </w:p>
    <w:p>
      <w:pPr>
        <w:numPr>
          <w:ilvl w:val="0"/>
          <w:numId w:val="1001"/>
        </w:numPr>
        <w:pStyle w:val="Compact"/>
      </w:pPr>
      <w:r>
        <w:t xml:space="preserve">This quotation does not constitute a binding contract until countersigned by both parties and accompanied by the advance payment. Governing law: the civil and commercial laws of the Russian Federation. Disputes shall be resolved by the Arbitration Court of the City of Moscow.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Chef</w:t>
      </w:r>
      <w:r>
        <w:t xml:space="preserve"> </w:t>
      </w:r>
      <w:r>
        <w:t xml:space="preserve">services in</w:t>
      </w:r>
      <w:r>
        <w:t xml:space="preserve"> </w:t>
      </w:r>
      <w:r>
        <w:t xml:space="preserve">Russia Moscow</w:t>
      </w:r>
      <w:r>
        <w:t xml:space="preserve"> </w:t>
      </w:r>
      <w:r>
        <w:t xml:space="preserve">and agrees to the terms, conditions, and pricing set forth herein.</w:t>
      </w:r>
    </w:p>
    <w:p>
      <w:pPr>
        <w:pStyle w:val="BodyText"/>
      </w:pPr>
      <w:r>
        <w:rPr>
          <w:bCs/>
          <w:b/>
        </w:rPr>
        <w:t xml:space="preserve">For ChefMoscow Culinary Partners LLC</w:t>
      </w:r>
    </w:p>
    <w:p>
      <w:pPr>
        <w:pStyle w:val="BodyText"/>
      </w:pPr>
      <w:r>
        <w:t xml:space="preserve">Alexander Volkov</w:t>
      </w:r>
      <w:r>
        <w:br/>
      </w:r>
      <w:r>
        <w:t xml:space="preserve">Director of Culinary Operations</w:t>
      </w:r>
      <w:r>
        <w:br/>
      </w:r>
      <w:r>
        <w:t xml:space="preserve">Date: _______________</w:t>
      </w:r>
    </w:p>
    <w:p>
      <w:pPr>
        <w:pStyle w:val="BodyText"/>
      </w:pPr>
      <w:r>
        <w:rPr>
          <w:bCs/>
          <w:b/>
        </w:rPr>
        <w:t xml:space="preserve">For the Client</w:t>
      </w:r>
    </w:p>
    <w:p>
      <w:pPr>
        <w:pStyle w:val="BodyText"/>
      </w:pPr>
      <w:r>
        <w:t xml:space="preserve">Dmitry S. Kuznetsov</w:t>
      </w:r>
      <w:r>
        <w:br/>
      </w:r>
      <w:r>
        <w:t xml:space="preserve">Authorized Representative</w:t>
      </w:r>
      <w:r>
        <w:br/>
      </w:r>
      <w:r>
        <w:t xml:space="preserve">Date: _______________</w:t>
      </w:r>
    </w:p>
    <w:p>
      <w:pPr>
        <w:pStyle w:val="BodyText"/>
      </w:pPr>
      <w:r>
        <w:t xml:space="preserve">ChefMoscow Culinary Partners LLC • OGRN 1197746001234 • INN 7701234567</w:t>
      </w:r>
      <w:r>
        <w:br/>
      </w:r>
      <w:r>
        <w:t xml:space="preserve">45, Lesnaya Street, Building 2, Moscow, 123001, Russian Federation</w:t>
      </w:r>
      <w:r>
        <w:br/>
      </w:r>
      <w:r>
        <w:t xml:space="preserve">This Quotation Estimate was prepared exclusively for the named Client and may not be transferred or used for any other purpose without prior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Russia Moscow</dc:title>
  <dc:creator/>
  <dc:language>en</dc:language>
  <cp:keywords/>
  <dcterms:created xsi:type="dcterms:W3CDTF">2026-10-10T04:04:40Z</dcterms:created>
  <dcterms:modified xsi:type="dcterms:W3CDTF">2026-10-10T04:04:40Z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