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Chef Services — Russia Saint Petersburg</w:t>
      </w:r>
    </w:p>
    <w:p>
      <w:pPr>
        <w:pStyle w:val="BodyText"/>
      </w:pPr>
      <w:r>
        <w:t xml:space="preserve">Culinary Excellence for Distinguished Clients Across the Northern Capital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QTE-RSP-2025-04871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Russian Ruble (RUB) / US Dollar (USD)</w:t>
            </w:r>
          </w:p>
        </w:tc>
      </w:tr>
      <w:tr>
        <w:tc>
          <w:tcPr/>
          <w:p>
            <w:pPr>
              <w:pStyle w:val="Compact"/>
              <w:jc w:val="left"/>
            </w:pPr>
            <w:r>
              <w:t xml:space="preserve">Prepared By:</w:t>
            </w:r>
          </w:p>
        </w:tc>
        <w:tc>
          <w:tcPr/>
          <w:p>
            <w:pPr>
              <w:pStyle w:val="Compact"/>
              <w:jc w:val="left"/>
            </w:pPr>
            <w:r>
              <w:t xml:space="preserve">Grand Culinary Partners LLC, Nevsky Prospekt 128, Saint Petersburg, Russia 191025</w:t>
            </w:r>
          </w:p>
        </w:tc>
        <w:tc>
          <w:tcPr/>
          <w:p>
            <w:pPr>
              <w:pStyle w:val="Compact"/>
              <w:jc w:val="left"/>
            </w:pPr>
            <w:r>
              <w:t xml:space="preserve">Contact:</w:t>
            </w:r>
          </w:p>
        </w:tc>
        <w:tc>
          <w:tcPr/>
          <w:p>
            <w:pPr>
              <w:pStyle w:val="Compact"/>
              <w:jc w:val="left"/>
            </w:pPr>
            <w:r>
              <w:t xml:space="preserve">+7 (812) 555-0142 | estimates@grandculinary.ru</w:t>
            </w:r>
          </w:p>
        </w:tc>
      </w:tr>
      <w:tr>
        <w:tc>
          <w:tcPr/>
          <w:p>
            <w:pPr>
              <w:pStyle w:val="Compact"/>
              <w:jc w:val="left"/>
            </w:pPr>
            <w:r>
              <w:t xml:space="preserve">Prepared For:</w:t>
            </w:r>
          </w:p>
        </w:tc>
        <w:tc>
          <w:tcPr/>
          <w:p>
            <w:pPr>
              <w:pStyle w:val="Compact"/>
              <w:jc w:val="left"/>
            </w:pPr>
            <w:r>
              <w:t xml:space="preserve">Client Name / Organization (to be confirmed upon acceptance)</w:t>
            </w:r>
          </w:p>
        </w:tc>
        <w:tc>
          <w:tcPr/>
          <w:p>
            <w:pPr>
              <w:pStyle w:val="Compact"/>
              <w:jc w:val="left"/>
            </w:pPr>
            <w:r>
              <w:t xml:space="preserve">Service Location:</w:t>
            </w:r>
          </w:p>
        </w:tc>
        <w:tc>
          <w:tcPr/>
          <w:p>
            <w:pPr>
              <w:pStyle w:val="Compact"/>
              <w:jc w:val="left"/>
            </w:pPr>
            <w:r>
              <w:t xml:space="preserve">Russia Saint Petersburg (all districts)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Grand Culinary Partners LLC to provide a comprehensive, itemized financial projection for the engagement of a professional</w:t>
      </w:r>
      <w:r>
        <w:t xml:space="preserve"> </w:t>
      </w:r>
      <w:r>
        <w:t xml:space="preserve">Chef</w:t>
      </w:r>
      <w:r>
        <w:t xml:space="preserve"> </w:t>
      </w:r>
      <w:r>
        <w:t xml:space="preserve">to deliver culinary services within the city of</w:t>
      </w:r>
      <w:r>
        <w:t xml:space="preserve"> </w:t>
      </w:r>
      <w:r>
        <w:t xml:space="preserve">Russia Saint Petersburg</w:t>
      </w:r>
      <w:r>
        <w:t xml:space="preserve">. The scope encompasses private residential catering, corporate event preparation, and bespoke menu development tailored to the client's dietary preferences, cultural requirements, and event specifications. All pricing reflects current market rates for qualified culinary professionals operating in the Saint Petersburg metropolitan area as of the date of issue.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Lead Chef (Michelin-trained, 15+ years experience) — daily engagement for private residence in Russia Saint Petersburg</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Assistant Chef / Sous Chef — supporting the Lead Chef in all kitchen operations</w:t>
            </w:r>
          </w:p>
        </w:tc>
        <w:tc>
          <w:tcPr/>
          <w:p>
            <w:pPr>
              <w:pStyle w:val="Compact"/>
              <w:jc w:val="left"/>
            </w:pPr>
            <w:r>
              <w:t xml:space="preserve">30 days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Menu Development &amp; Seasonal Planning (Russian, European, and Asian fusion cuisine)</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Procurement &amp; Sourcing of Premium Ingredients from local Saint Petersburg markets (Vasilievsky Island, Ligovsky, and specialty importers)</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Special Event Chef Service (wedding, state banquet, or corporate gala in Russia Saint Petersburg)</w:t>
            </w:r>
          </w:p>
        </w:tc>
        <w:tc>
          <w:tcPr/>
          <w:p>
            <w:pPr>
              <w:pStyle w:val="Compact"/>
              <w:jc w:val="left"/>
            </w:pPr>
            <w:r>
              <w:t xml:space="preserve">2 events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Kitchen Equipment Rental &amp; Setup (induction range, convection oven, professional prep stations)</w:t>
            </w:r>
          </w:p>
        </w:tc>
        <w:tc>
          <w:tcPr/>
          <w:p>
            <w:pPr>
              <w:pStyle w:val="Compact"/>
              <w:jc w:val="left"/>
            </w:pPr>
            <w:r>
              <w:t xml:space="preserve">30 days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&amp; Accommodation Allowance for Chef team (if sourced from outside Saint Petersburg)</w:t>
            </w:r>
          </w:p>
        </w:tc>
        <w:tc>
          <w:tcPr/>
          <w:p>
            <w:pPr>
              <w:pStyle w:val="Compact"/>
              <w:jc w:val="left"/>
            </w:pPr>
            <w:r>
              <w:t xml:space="preserve">30 days</w:t>
            </w:r>
          </w:p>
        </w:tc>
        <w:tc>
          <w:tcPr/>
          <w:p>
            <w:pPr>
              <w:pStyle w:val="Compact"/>
              <w:jc w:val="left"/>
            </w:pPr>
            <w:r>
              <w:t xml:space="preserve">8,000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Insurance &amp; Liability Coverage (professional indemnity, food safety, public liability)</w:t>
            </w:r>
          </w:p>
        </w:tc>
        <w:tc>
          <w:tcPr/>
          <w:p>
            <w:pPr>
              <w:pStyle w:val="Compact"/>
              <w:jc w:val="left"/>
            </w:pPr>
            <w:r>
              <w:t xml:space="preserve">30 days</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Administrative &amp; Coordination Fee (scheduling, client liaison, quality assurance)</w:t>
            </w:r>
          </w:p>
        </w:tc>
        <w:tc>
          <w:tcPr/>
          <w:p>
            <w:pPr>
              <w:pStyle w:val="Compact"/>
              <w:jc w:val="left"/>
            </w:pPr>
            <w:r>
              <w:t xml:space="preserve">30 days</w:t>
            </w:r>
          </w:p>
        </w:tc>
        <w:tc>
          <w:tcPr/>
          <w:p>
            <w:pPr>
              <w:pStyle w:val="Compact"/>
              <w:jc w:val="left"/>
            </w:pPr>
            <w:r>
              <w:t xml:space="preserve">4,000</w:t>
            </w:r>
          </w:p>
        </w:tc>
        <w:tc>
          <w:tcPr/>
          <w:p>
            <w:pPr>
              <w:pStyle w:val="Compact"/>
              <w:jc w:val="left"/>
            </w:pPr>
            <w:r>
              <w:t xml:space="preserve">120,000</w:t>
            </w:r>
          </w:p>
        </w:tc>
      </w:tr>
      <w:tr>
        <w:tc>
          <w:tcPr>
            <w:gridSpan w:val="4"/>
          </w:tcPr>
          <w:p>
            <w:pPr>
              <w:pStyle w:val="Compact"/>
              <w:jc w:val="right"/>
            </w:pPr>
            <w:r>
              <w:t xml:space="preserve">SUBTOTAL (RUB)</w:t>
            </w:r>
          </w:p>
        </w:tc>
        <w:tc>
          <w:tcPr/>
          <w:p>
            <w:pPr>
              <w:pStyle w:val="Compact"/>
              <w:jc w:val="left"/>
            </w:pPr>
            <w:r>
              <w:t xml:space="preserve">3,955,000</w:t>
            </w:r>
          </w:p>
        </w:tc>
      </w:tr>
      <w:tr>
        <w:tc>
          <w:tcPr>
            <w:gridSpan w:val="4"/>
          </w:tcPr>
          <w:p>
            <w:pPr>
              <w:pStyle w:val="Compact"/>
              <w:jc w:val="right"/>
            </w:pPr>
            <w:r>
              <w:t xml:space="preserve">VAT (20% — Russian Federation)</w:t>
            </w:r>
          </w:p>
        </w:tc>
        <w:tc>
          <w:tcPr/>
          <w:p>
            <w:pPr>
              <w:pStyle w:val="Compact"/>
              <w:jc w:val="left"/>
            </w:pPr>
            <w:r>
              <w:t xml:space="preserve">791,000</w:t>
            </w:r>
          </w:p>
        </w:tc>
      </w:tr>
      <w:tr>
        <w:tc>
          <w:tcPr>
            <w:gridSpan w:val="4"/>
          </w:tcPr>
          <w:p>
            <w:pPr>
              <w:pStyle w:val="Compact"/>
              <w:jc w:val="right"/>
            </w:pPr>
            <w:r>
              <w:t xml:space="preserve">GRAND TOTAL (RUB)</w:t>
            </w:r>
          </w:p>
        </w:tc>
        <w:tc>
          <w:tcPr/>
          <w:p>
            <w:pPr>
              <w:pStyle w:val="Compact"/>
              <w:jc w:val="left"/>
            </w:pPr>
            <w:r>
              <w:t xml:space="preserve">4,746,000</w:t>
            </w:r>
          </w:p>
        </w:tc>
      </w:tr>
      <w:tr>
        <w:tc>
          <w:tcPr>
            <w:gridSpan w:val="4"/>
          </w:tcPr>
          <w:p>
            <w:pPr>
              <w:pStyle w:val="Compact"/>
              <w:jc w:val="right"/>
            </w:pPr>
            <w:r>
              <w:t xml:space="preserve">GRAND TOTAL (USD, approx. at 92 RUB/USD)</w:t>
            </w:r>
          </w:p>
        </w:tc>
        <w:tc>
          <w:tcPr/>
          <w:p>
            <w:pPr>
              <w:pStyle w:val="Compact"/>
              <w:jc w:val="left"/>
            </w:pPr>
            <w:r>
              <w:t xml:space="preserve">≈ 51,587</w:t>
            </w:r>
          </w:p>
        </w:tc>
      </w:tr>
    </w:tbl>
    <w:bookmarkEnd w:id="22"/>
    <w:bookmarkStart w:id="23" w:name="X0d462dd4d06558d9fa8af72acf32ea7ffab6bfc"/>
    <w:p>
      <w:pPr>
        <w:pStyle w:val="Heading2"/>
      </w:pPr>
      <w:r>
        <w:t xml:space="preserve">3. Chef Qualifications and Service Standards</w:t>
      </w:r>
    </w:p>
    <w:p>
      <w:pPr>
        <w:pStyle w:val="FirstParagraph"/>
      </w:pPr>
      <w:r>
        <w:t xml:space="preserve">The Lead Chef engaged under this</w:t>
      </w:r>
      <w:r>
        <w:t xml:space="preserve"> </w:t>
      </w:r>
      <w:r>
        <w:t xml:space="preserve">Quotation Estimate</w:t>
      </w:r>
      <w:r>
        <w:t xml:space="preserve"> </w:t>
      </w:r>
      <w:r>
        <w:t xml:space="preserve">shall hold a minimum of fifteen years of professional culinary experience, including at least five years in a fine-dining or five-star hospitality environment. The Chef must demonstrate proficiency in classical French technique, modern Russian cuisine (including traditional Saint Petersburg dishes such as</w:t>
      </w:r>
      <w:r>
        <w:t xml:space="preserve"> </w:t>
      </w:r>
      <w:r>
        <w:rPr>
          <w:iCs/>
          <w:i/>
        </w:rPr>
        <w:t xml:space="preserve">seledka pod shuboy</w:t>
      </w:r>
      <w:r>
        <w:t xml:space="preserve">,</w:t>
      </w:r>
      <w:r>
        <w:t xml:space="preserve"> </w:t>
      </w:r>
      <w:r>
        <w:rPr>
          <w:iCs/>
          <w:i/>
        </w:rPr>
        <w:t xml:space="preserve">red borscht</w:t>
      </w:r>
      <w:r>
        <w:t xml:space="preserve">, and</w:t>
      </w:r>
      <w:r>
        <w:t xml:space="preserve"> </w:t>
      </w:r>
      <w:r>
        <w:rPr>
          <w:iCs/>
          <w:i/>
        </w:rPr>
        <w:t xml:space="preserve">stroganoff</w:t>
      </w:r>
      <w:r>
        <w:t xml:space="preserve">), and contemporary international gastronomy. All Chef personnel operating in Russia Saint Petersburg under this agreement shall possess valid food-handler certifications recognized by the Russian Federal Service for Surveillance on Consumer Rights Protection and Human Well-Being (Rospotrebnadzor).</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fluctuating ingredient costs in the Saint Petersburg market.</w:t>
      </w:r>
    </w:p>
    <w:p>
      <w:pPr>
        <w:numPr>
          <w:ilvl w:val="0"/>
          <w:numId w:val="1001"/>
        </w:numPr>
        <w:pStyle w:val="Compact"/>
      </w:pPr>
      <w:r>
        <w:t xml:space="preserve">Payment terms: 40% advance deposit upon acceptance of this Quotation Estimate; 40% due at the midpoint of the service period; 20% final settlement within five (5) business days of service completion.</w:t>
      </w:r>
    </w:p>
    <w:p>
      <w:pPr>
        <w:numPr>
          <w:ilvl w:val="0"/>
          <w:numId w:val="1001"/>
        </w:numPr>
        <w:pStyle w:val="Compact"/>
      </w:pPr>
      <w:r>
        <w:t xml:space="preserve">All payments shall be made in Russian Rubles (RUB) via bank transfer to the account of Grand Culinary Partners LLC, or in US Dollars (USD) at the Central Bank of Russia exchange rate on the date of invoicing.</w:t>
      </w:r>
    </w:p>
    <w:p>
      <w:pPr>
        <w:numPr>
          <w:ilvl w:val="0"/>
          <w:numId w:val="1001"/>
        </w:numPr>
        <w:pStyle w:val="Compact"/>
      </w:pPr>
      <w:r>
        <w:t xml:space="preserve">The Chef and supporting staff shall comply with all applicable Russian Federation labor laws, food safety regulations, and local Saint Petersburg municipal ordinances governing private catering operations.</w:t>
      </w:r>
    </w:p>
    <w:p>
      <w:pPr>
        <w:numPr>
          <w:ilvl w:val="0"/>
          <w:numId w:val="1001"/>
        </w:numPr>
        <w:pStyle w:val="Compact"/>
      </w:pPr>
      <w:r>
        <w:t xml:space="preserve">Client is responsible for providing a functional kitchen space or designating an approved off-site preparation facility within the city of Russia Saint Petersburg.</w:t>
      </w:r>
    </w:p>
    <w:p>
      <w:pPr>
        <w:numPr>
          <w:ilvl w:val="0"/>
          <w:numId w:val="1001"/>
        </w:numPr>
        <w:pStyle w:val="Compact"/>
      </w:pPr>
      <w:r>
        <w:t xml:space="preserve">Any additional services, extended hours, or special dietary accommodations beyond the scope outlined herein shall be subject to a supplementary Quotation Estimate issued prior to execution.</w:t>
      </w:r>
    </w:p>
    <w:p>
      <w:pPr>
        <w:numPr>
          <w:ilvl w:val="0"/>
          <w:numId w:val="1001"/>
        </w:numPr>
        <w:pStyle w:val="Compact"/>
      </w:pPr>
      <w:r>
        <w:t xml:space="preserve">Force majeure events, including but not limited to government-mandated closures, severe weather affecting Saint Petersburg infrastructure, or supply chain disruptions, shall suspend obligations without penalty to either party.</w:t>
      </w:r>
    </w:p>
    <w:p>
      <w:pPr>
        <w:numPr>
          <w:ilvl w:val="0"/>
          <w:numId w:val="1001"/>
        </w:numPr>
        <w:pStyle w:val="Compact"/>
      </w:pPr>
      <w:r>
        <w:t xml:space="preserve">This Quotation Estimate does not constitute a binding contract until countersigned by both parties and the advance deposit has been received.</w:t>
      </w:r>
    </w:p>
    <w:p>
      <w:pPr>
        <w:pStyle w:val="FirstParagraph"/>
      </w:pPr>
      <w:r>
        <w:rPr>
          <w:bCs/>
          <w:b/>
        </w:rPr>
        <w:t xml:space="preserve">Note:</w:t>
      </w:r>
      <w:r>
        <w:t xml:space="preserve"> </w:t>
      </w:r>
      <w:r>
        <w:t xml:space="preserve">This Quotation Estimate for Chef services in Russia Saint Petersburg includes a complimentary initial consultation (up to 2 hours) during which the Lead Chef will assess the client's kitchen facilities, discuss menu preferences, and confirm logistical requirements. This consultation is conducted at the client's designated location within Saint Petersburg city limits at no additional charge.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specified</w:t>
      </w:r>
      <w:r>
        <w:t xml:space="preserve"> </w:t>
      </w:r>
      <w:r>
        <w:t xml:space="preserve">Chef</w:t>
      </w:r>
      <w:r>
        <w:t xml:space="preserve"> </w:t>
      </w:r>
      <w:r>
        <w:t xml:space="preserve">services in</w:t>
      </w:r>
      <w:r>
        <w:t xml:space="preserve"> </w:t>
      </w:r>
      <w:r>
        <w:t xml:space="preserve">Russia Saint Petersburg</w:t>
      </w:r>
      <w:r>
        <w:t xml:space="preserve">.</w:t>
      </w:r>
    </w:p>
    <w:p>
      <w:pPr>
        <w:pStyle w:val="BodyText"/>
      </w:pPr>
      <w:r>
        <w:rPr>
          <w:bCs/>
          <w:b/>
        </w:rPr>
        <w:t xml:space="preserve">For Grand Culinary Partners LLC</w:t>
      </w:r>
    </w:p>
    <w:p>
      <w:pPr>
        <w:pStyle w:val="BodyText"/>
      </w:pPr>
      <w:r>
        <w:t xml:space="preserve">Name: _________________________</w:t>
      </w:r>
      <w:r>
        <w:br/>
      </w:r>
      <w:r>
        <w:t xml:space="preserve">Title: Director of Culinary Operations</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Grand Culinary Partners LLC — INN 7810XXXXXX — OGRN 11578XXXXXXX</w:t>
      </w:r>
      <w:r>
        <w:br/>
      </w:r>
      <w:r>
        <w:t xml:space="preserve">Nevsky Prospekt 128, Saint Petersburg, Russia 191025 — +7 (812) 555-0142</w:t>
      </w:r>
      <w:r>
        <w:br/>
      </w:r>
      <w:r>
        <w:t xml:space="preserve">This Quotation Estimate document is generated electronically and is valid without a physical seal.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Russia Saint Petersburg</dc:title>
  <dc:creator/>
  <dc:language>en</dc:language>
  <cp:keywords/>
  <dcterms:created xsi:type="dcterms:W3CDTF">2026-10-10T05:53:45Z</dcterms:created>
  <dcterms:modified xsi:type="dcterms:W3CDTF">2026-10-10T05:53:45Z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