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Culinary Excellence Services Co. Ltd.</w:t>
      </w:r>
    </w:p>
    <w:p>
      <w:pPr>
        <w:pStyle w:val="BodyText"/>
      </w:pPr>
      <w:r>
        <w:t xml:space="preserve">Office No. 42, Al Shati Business Tower, Corniche Road, Jeddah 23412, Saudi Arabia</w:t>
      </w:r>
    </w:p>
    <w:p>
      <w:pPr>
        <w:pStyle w:val="BodyText"/>
      </w:pPr>
      <w:r>
        <w:t xml:space="preserve">Tel: +966 12 654 3210 | Email: quotations@culinaryexcellence.sa | CR: 1010456789</w:t>
      </w:r>
    </w:p>
    <w:bookmarkEnd w:id="20"/>
    <w:p>
      <w:pPr>
        <w:pStyle w:val="BodyText"/>
      </w:pPr>
      <w:r>
        <w:rPr>
          <w:bCs/>
          <w:b/>
        </w:rPr>
        <w:t xml:space="preserve">Quotation Estimate No.:</w:t>
      </w:r>
      <w:r>
        <w:t xml:space="preserve"> </w:t>
      </w:r>
      <w:r>
        <w:t xml:space="preserve">QTE-JED-2025-0347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 Noor Hospitality Group, Jeddah</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Culinary Excellence Services Co. Ltd. to Al Noor Hospitality Group, a distinguished hospitality establishment located in the heart of</w:t>
      </w:r>
      <w:r>
        <w:t xml:space="preserve"> </w:t>
      </w:r>
      <w:r>
        <w:t xml:space="preserve">Saudi Arabia Jeddah</w:t>
      </w:r>
      <w:r>
        <w:t xml:space="preserve">. The purpose of this document is to provide a comprehensive, transparent, and itemized breakdown of costs associated with the engagement of a professional</w:t>
      </w:r>
      <w:r>
        <w:t xml:space="preserve"> </w:t>
      </w:r>
      <w:r>
        <w:t xml:space="preserve">Chef</w:t>
      </w:r>
      <w:r>
        <w:t xml:space="preserve"> </w:t>
      </w:r>
      <w:r>
        <w:t xml:space="preserve">and supporting culinary team for the period specified herein. This</w:t>
      </w:r>
      <w:r>
        <w:t xml:space="preserve"> </w:t>
      </w:r>
      <w:r>
        <w:t xml:space="preserve">Quotation Estimate</w:t>
      </w:r>
      <w:r>
        <w:t xml:space="preserve"> </w:t>
      </w:r>
      <w:r>
        <w:t xml:space="preserve">has been prepared in full compliance with the commercial regulations of the Kingdom of Saudi Arabia and reflects current market rates for premium</w:t>
      </w:r>
      <w:r>
        <w:t xml:space="preserve"> </w:t>
      </w:r>
      <w:r>
        <w:t xml:space="preserve">Chef</w:t>
      </w:r>
      <w:r>
        <w:t xml:space="preserve"> </w:t>
      </w:r>
      <w:r>
        <w:t xml:space="preserve">services in the</w:t>
      </w:r>
      <w:r>
        <w:t xml:space="preserve"> </w:t>
      </w:r>
      <w:r>
        <w:t xml:space="preserve">Saudi Arabia Jeddah</w:t>
      </w:r>
      <w:r>
        <w:t xml:space="preserve"> </w:t>
      </w:r>
      <w:r>
        <w:t xml:space="preserve">metropolitan area.</w:t>
      </w:r>
    </w:p>
    <w:bookmarkEnd w:id="21"/>
    <w:bookmarkStart w:id="22" w:name="scope-of-services-chef-engagement"/>
    <w:p>
      <w:pPr>
        <w:pStyle w:val="Heading2"/>
      </w:pPr>
      <w:r>
        <w:t xml:space="preserve">2. Scope of Services – Chef Engagement</w:t>
      </w:r>
    </w:p>
    <w:p>
      <w:pPr>
        <w:pStyle w:val="FirstParagraph"/>
      </w:pPr>
      <w:r>
        <w:t xml:space="preserve">The following</w:t>
      </w:r>
      <w:r>
        <w:t xml:space="preserve"> </w:t>
      </w:r>
      <w:r>
        <w:t xml:space="preserve">Chef</w:t>
      </w:r>
      <w:r>
        <w:t xml:space="preserve"> </w:t>
      </w:r>
      <w:r>
        <w:t xml:space="preserve">services are included within the scope of this</w:t>
      </w:r>
      <w:r>
        <w:t xml:space="preserve"> </w:t>
      </w:r>
      <w:r>
        <w:t xml:space="preserve">Quotation Estimate</w:t>
      </w:r>
      <w:r>
        <w:t xml:space="preserve"> </w:t>
      </w:r>
      <w:r>
        <w:t xml:space="preserve">for deployment at the client's premises in</w:t>
      </w:r>
      <w:r>
        <w:t xml:space="preserve"> </w:t>
      </w:r>
      <w:r>
        <w:t xml:space="preserve">Saudi Arabia Jeddah</w:t>
      </w:r>
      <w:r>
        <w:t xml:space="preserve">:</w:t>
      </w:r>
    </w:p>
    <w:p>
      <w:pPr>
        <w:numPr>
          <w:ilvl w:val="0"/>
          <w:numId w:val="1001"/>
        </w:numPr>
        <w:pStyle w:val="Compact"/>
      </w:pPr>
      <w:r>
        <w:t xml:space="preserve">Engagement of one (1) Senior Executive</w:t>
      </w:r>
      <w:r>
        <w:t xml:space="preserve"> </w:t>
      </w:r>
      <w:r>
        <w:t xml:space="preserve">Chef</w:t>
      </w:r>
      <w:r>
        <w:t xml:space="preserve"> </w:t>
      </w:r>
      <w:r>
        <w:t xml:space="preserve">with a minimum of fifteen (15) years of international culinary experience, specializing in Middle Eastern, Levantine, and contemporary fusion cuisine.</w:t>
      </w:r>
    </w:p>
    <w:p>
      <w:pPr>
        <w:numPr>
          <w:ilvl w:val="0"/>
          <w:numId w:val="1001"/>
        </w:numPr>
        <w:pStyle w:val="Compact"/>
      </w:pPr>
      <w:r>
        <w:t xml:space="preserve">Engagement of two (2) Sous Chefs and three (3) Commis Chefs to support the Senior</w:t>
      </w:r>
      <w:r>
        <w:t xml:space="preserve"> </w:t>
      </w:r>
      <w:r>
        <w:t xml:space="preserve">Chef</w:t>
      </w:r>
      <w:r>
        <w:t xml:space="preserve"> </w:t>
      </w:r>
      <w:r>
        <w:t xml:space="preserve">in daily kitchen operations.</w:t>
      </w:r>
    </w:p>
    <w:p>
      <w:pPr>
        <w:numPr>
          <w:ilvl w:val="0"/>
          <w:numId w:val="1001"/>
        </w:numPr>
        <w:pStyle w:val="Compact"/>
      </w:pPr>
      <w:r>
        <w:t xml:space="preserve">Menu development and seasonal menu rotation tailored to the cultural and dietary preferences of guests in</w:t>
      </w:r>
      <w:r>
        <w:t xml:space="preserve"> </w:t>
      </w:r>
      <w:r>
        <w:t xml:space="preserve">Saudi Arabia Jeddah</w:t>
      </w:r>
      <w:r>
        <w:t xml:space="preserve">.</w:t>
      </w:r>
    </w:p>
    <w:p>
      <w:pPr>
        <w:numPr>
          <w:ilvl w:val="0"/>
          <w:numId w:val="1001"/>
        </w:numPr>
        <w:pStyle w:val="Compact"/>
      </w:pPr>
      <w:r>
        <w:t xml:space="preserve">Full kitchen management including inventory control, supplier coordination, food safety compliance, and HACCP protocol implementation.</w:t>
      </w:r>
    </w:p>
    <w:p>
      <w:pPr>
        <w:numPr>
          <w:ilvl w:val="0"/>
          <w:numId w:val="1001"/>
        </w:numPr>
        <w:pStyle w:val="Compact"/>
      </w:pPr>
      <w:r>
        <w:t xml:space="preserve">Staff training and mentorship programs for the client's in-house kitchen personnel.</w:t>
      </w:r>
    </w:p>
    <w:p>
      <w:pPr>
        <w:numPr>
          <w:ilvl w:val="0"/>
          <w:numId w:val="1001"/>
        </w:numPr>
        <w:pStyle w:val="Compact"/>
      </w:pPr>
      <w:r>
        <w:t xml:space="preserve">Special event and banquet</w:t>
      </w:r>
      <w:r>
        <w:t xml:space="preserve"> </w:t>
      </w:r>
      <w:r>
        <w:t xml:space="preserve">Chef</w:t>
      </w:r>
      <w:r>
        <w:t xml:space="preserve"> </w:t>
      </w:r>
      <w:r>
        <w:t xml:space="preserve">services for up to five (5) events per month, including private dining, corporate functions, and seasonal celebrations.</w:t>
      </w:r>
    </w:p>
    <w:p>
      <w:pPr>
        <w:numPr>
          <w:ilvl w:val="0"/>
          <w:numId w:val="1001"/>
        </w:numPr>
        <w:pStyle w:val="Compact"/>
      </w:pPr>
      <w:r>
        <w:t xml:space="preserve">Weekly quality assurance inspections and monthly performance reporting to the client's management team.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Chef Service</w:t>
            </w:r>
          </w:p>
        </w:tc>
        <w:tc>
          <w:tcPr/>
          <w:p>
            <w:pPr>
              <w:pStyle w:val="Compact"/>
              <w:jc w:val="left"/>
            </w:pPr>
            <w:r>
              <w:t xml:space="preserve">Duration</w:t>
            </w:r>
          </w:p>
        </w:tc>
        <w:tc>
          <w:tcPr/>
          <w:p>
            <w:pPr>
              <w:pStyle w:val="Compact"/>
              <w:jc w:val="left"/>
            </w:pPr>
            <w:r>
              <w:t xml:space="preserve">Unit Cost (SAR)</w:t>
            </w:r>
          </w:p>
        </w:tc>
        <w:tc>
          <w:tcPr/>
          <w:p>
            <w:pPr>
              <w:pStyle w:val="Compact"/>
              <w:jc w:val="left"/>
            </w:pPr>
            <w:r>
              <w:t xml:space="preserve">Quantity</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Executive Chef – Monthly Retainer</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Sous Chef – Monthly Retainer (per chef)</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24</w:t>
            </w:r>
          </w:p>
        </w:tc>
        <w:tc>
          <w:tcPr/>
          <w:p>
            <w:pPr>
              <w:pStyle w:val="Compact"/>
              <w:jc w:val="left"/>
            </w:pPr>
            <w:r>
              <w:t xml:space="preserve">528,000</w:t>
            </w:r>
          </w:p>
        </w:tc>
      </w:tr>
      <w:tr>
        <w:tc>
          <w:tcPr/>
          <w:p>
            <w:pPr>
              <w:pStyle w:val="Compact"/>
              <w:jc w:val="left"/>
            </w:pPr>
            <w:r>
              <w:t xml:space="preserve">03</w:t>
            </w:r>
          </w:p>
        </w:tc>
        <w:tc>
          <w:tcPr/>
          <w:p>
            <w:pPr>
              <w:pStyle w:val="Compact"/>
              <w:jc w:val="left"/>
            </w:pPr>
            <w:r>
              <w:t xml:space="preserve">Commis Chef – Monthly Retainer (per chef)</w:t>
            </w:r>
          </w:p>
        </w:tc>
        <w:tc>
          <w:tcPr/>
          <w:p>
            <w:pPr>
              <w:pStyle w:val="Compact"/>
              <w:jc w:val="left"/>
            </w:pPr>
            <w:r>
              <w:t xml:space="preserve">12 Months</w:t>
            </w:r>
          </w:p>
        </w:tc>
        <w:tc>
          <w:tcPr/>
          <w:p>
            <w:pPr>
              <w:pStyle w:val="Compact"/>
              <w:jc w:val="left"/>
            </w:pPr>
            <w:r>
              <w:t xml:space="preserve">12,500</w:t>
            </w:r>
          </w:p>
        </w:tc>
        <w:tc>
          <w:tcPr/>
          <w:p>
            <w:pPr>
              <w:pStyle w:val="Compact"/>
              <w:jc w:val="left"/>
            </w:pPr>
            <w:r>
              <w:t xml:space="preserve">36</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Menu Development &amp; Seasonal Rotation (per quarter)</w:t>
            </w:r>
          </w:p>
        </w:tc>
        <w:tc>
          <w:tcPr/>
          <w:p>
            <w:pPr>
              <w:pStyle w:val="Compact"/>
              <w:jc w:val="left"/>
            </w:pPr>
            <w:r>
              <w:t xml:space="preserve">4 Quarters</w:t>
            </w:r>
          </w:p>
        </w:tc>
        <w:tc>
          <w:tcPr/>
          <w:p>
            <w:pPr>
              <w:pStyle w:val="Compact"/>
              <w:jc w:val="left"/>
            </w:pPr>
            <w:r>
              <w:t xml:space="preserve">18,000</w:t>
            </w:r>
          </w:p>
        </w:tc>
        <w:tc>
          <w:tcPr/>
          <w:p>
            <w:pPr>
              <w:pStyle w:val="Compact"/>
              <w:jc w:val="left"/>
            </w:pPr>
            <w:r>
              <w:t xml:space="preserve">4</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Special Event / Banquet Chef Services (per event)</w:t>
            </w:r>
          </w:p>
        </w:tc>
        <w:tc>
          <w:tcPr/>
          <w:p>
            <w:pPr>
              <w:pStyle w:val="Compact"/>
              <w:jc w:val="left"/>
            </w:pPr>
            <w:r>
              <w:t xml:space="preserve">60 Events</w:t>
            </w:r>
          </w:p>
        </w:tc>
        <w:tc>
          <w:tcPr/>
          <w:p>
            <w:pPr>
              <w:pStyle w:val="Compact"/>
              <w:jc w:val="left"/>
            </w:pPr>
            <w:r>
              <w:t xml:space="preserve">8,500</w:t>
            </w:r>
          </w:p>
        </w:tc>
        <w:tc>
          <w:tcPr/>
          <w:p>
            <w:pPr>
              <w:pStyle w:val="Compact"/>
              <w:jc w:val="left"/>
            </w:pPr>
            <w:r>
              <w:t xml:space="preserve">60</w:t>
            </w:r>
          </w:p>
        </w:tc>
        <w:tc>
          <w:tcPr/>
          <w:p>
            <w:pPr>
              <w:pStyle w:val="Compact"/>
              <w:jc w:val="left"/>
            </w:pPr>
            <w:r>
              <w:t xml:space="preserve">510,000</w:t>
            </w:r>
          </w:p>
        </w:tc>
      </w:tr>
      <w:tr>
        <w:tc>
          <w:tcPr/>
          <w:p>
            <w:pPr>
              <w:pStyle w:val="Compact"/>
              <w:jc w:val="left"/>
            </w:pPr>
            <w:r>
              <w:t xml:space="preserve">06</w:t>
            </w:r>
          </w:p>
        </w:tc>
        <w:tc>
          <w:tcPr/>
          <w:p>
            <w:pPr>
              <w:pStyle w:val="Compact"/>
              <w:jc w:val="left"/>
            </w:pPr>
            <w:r>
              <w:t xml:space="preserve">Kitchen Staff Training &amp; Mentorship Program</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12</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Food Safety &amp; HACCP Compliance Audits (monthly)</w:t>
            </w:r>
          </w:p>
        </w:tc>
        <w:tc>
          <w:tcPr/>
          <w:p>
            <w:pPr>
              <w:pStyle w:val="Compact"/>
              <w:jc w:val="left"/>
            </w:pPr>
            <w:r>
              <w:t xml:space="preserve">12 Months</w:t>
            </w:r>
          </w:p>
        </w:tc>
        <w:tc>
          <w:tcPr/>
          <w:p>
            <w:pPr>
              <w:pStyle w:val="Compact"/>
              <w:jc w:val="left"/>
            </w:pPr>
            <w:r>
              <w:t xml:space="preserve">5,500</w:t>
            </w:r>
          </w:p>
        </w:tc>
        <w:tc>
          <w:tcPr/>
          <w:p>
            <w:pPr>
              <w:pStyle w:val="Compact"/>
              <w:jc w:val="left"/>
            </w:pPr>
            <w:r>
              <w:t xml:space="preserve">12</w:t>
            </w:r>
          </w:p>
        </w:tc>
        <w:tc>
          <w:tcPr/>
          <w:p>
            <w:pPr>
              <w:pStyle w:val="Compact"/>
              <w:jc w:val="left"/>
            </w:pPr>
            <w:r>
              <w:t xml:space="preserve">66,000</w:t>
            </w:r>
          </w:p>
        </w:tc>
      </w:tr>
      <w:tr>
        <w:tc>
          <w:tcPr/>
          <w:p>
            <w:pPr>
              <w:pStyle w:val="Compact"/>
              <w:jc w:val="left"/>
            </w:pPr>
            <w:r>
              <w:t xml:space="preserve">08</w:t>
            </w:r>
          </w:p>
        </w:tc>
        <w:tc>
          <w:tcPr/>
          <w:p>
            <w:pPr>
              <w:pStyle w:val="Compact"/>
              <w:jc w:val="left"/>
            </w:pPr>
            <w:r>
              <w:t xml:space="preserve">Work Permits, Iqama Processing &amp; Visa Sponsorship (per staff)</w:t>
            </w:r>
          </w:p>
        </w:tc>
        <w:tc>
          <w:tcPr/>
          <w:p>
            <w:pPr>
              <w:pStyle w:val="Compact"/>
              <w:jc w:val="left"/>
            </w:pPr>
            <w:r>
              <w:t xml:space="preserve">One-time</w:t>
            </w:r>
          </w:p>
        </w:tc>
        <w:tc>
          <w:tcPr/>
          <w:p>
            <w:pPr>
              <w:pStyle w:val="Compact"/>
              <w:jc w:val="left"/>
            </w:pPr>
            <w:r>
              <w:t xml:space="preserve">7,200</w:t>
            </w:r>
          </w:p>
        </w:tc>
        <w:tc>
          <w:tcPr/>
          <w:p>
            <w:pPr>
              <w:pStyle w:val="Compact"/>
              <w:jc w:val="left"/>
            </w:pPr>
            <w:r>
              <w:t xml:space="preserve">6</w:t>
            </w:r>
          </w:p>
        </w:tc>
        <w:tc>
          <w:tcPr/>
          <w:p>
            <w:pPr>
              <w:pStyle w:val="Compact"/>
              <w:jc w:val="left"/>
            </w:pPr>
            <w:r>
              <w:t xml:space="preserve">43,200</w:t>
            </w:r>
          </w:p>
        </w:tc>
      </w:tr>
      <w:tr>
        <w:tc>
          <w:tcPr/>
          <w:p>
            <w:pPr>
              <w:pStyle w:val="Compact"/>
              <w:jc w:val="left"/>
            </w:pPr>
            <w:r>
              <w:t xml:space="preserve">09</w:t>
            </w:r>
          </w:p>
        </w:tc>
        <w:tc>
          <w:tcPr/>
          <w:p>
            <w:pPr>
              <w:pStyle w:val="Compact"/>
              <w:jc w:val="left"/>
            </w:pPr>
            <w:r>
              <w:t xml:space="preserve">Accommodation &amp; Transportation Allowance (per staff, monthly)</w:t>
            </w:r>
          </w:p>
        </w:tc>
        <w:tc>
          <w:tcPr/>
          <w:p>
            <w:pPr>
              <w:pStyle w:val="Compact"/>
              <w:jc w:val="left"/>
            </w:pPr>
            <w:r>
              <w:t xml:space="preserve">12 Months</w:t>
            </w:r>
          </w:p>
        </w:tc>
        <w:tc>
          <w:tcPr/>
          <w:p>
            <w:pPr>
              <w:pStyle w:val="Compact"/>
              <w:jc w:val="left"/>
            </w:pPr>
            <w:r>
              <w:t xml:space="preserve">4,800</w:t>
            </w:r>
          </w:p>
        </w:tc>
        <w:tc>
          <w:tcPr/>
          <w:p>
            <w:pPr>
              <w:pStyle w:val="Compact"/>
              <w:jc w:val="left"/>
            </w:pPr>
            <w:r>
              <w:t xml:space="preserve">72</w:t>
            </w:r>
          </w:p>
        </w:tc>
        <w:tc>
          <w:tcPr/>
          <w:p>
            <w:pPr>
              <w:pStyle w:val="Compact"/>
              <w:jc w:val="left"/>
            </w:pPr>
            <w:r>
              <w:t xml:space="preserve">345,600</w:t>
            </w:r>
          </w:p>
        </w:tc>
      </w:tr>
      <w:tr>
        <w:tc>
          <w:tcPr/>
          <w:p>
            <w:pPr>
              <w:pStyle w:val="Compact"/>
              <w:jc w:val="left"/>
            </w:pPr>
            <w:r>
              <w:t xml:space="preserve">10</w:t>
            </w:r>
          </w:p>
        </w:tc>
        <w:tc>
          <w:tcPr/>
          <w:p>
            <w:pPr>
              <w:pStyle w:val="Compact"/>
              <w:jc w:val="left"/>
            </w:pPr>
            <w:r>
              <w:t xml:space="preserve">Management &amp; Coordination Fee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279,480</w:t>
            </w:r>
          </w:p>
        </w:tc>
      </w:tr>
      <w:tr>
        <w:tc>
          <w:tcPr>
            <w:gridSpan w:val="5"/>
          </w:tcPr>
          <w:p>
            <w:pPr>
              <w:pStyle w:val="Compact"/>
              <w:jc w:val="left"/>
            </w:pPr>
            <w:r>
              <w:t xml:space="preserve">Subtotal (SAR)</w:t>
            </w:r>
          </w:p>
        </w:tc>
        <w:tc>
          <w:tcPr/>
          <w:p>
            <w:pPr>
              <w:pStyle w:val="Compact"/>
              <w:jc w:val="left"/>
            </w:pPr>
            <w:r>
              <w:t xml:space="preserve">3,014,280</w:t>
            </w:r>
          </w:p>
        </w:tc>
      </w:tr>
      <w:tr>
        <w:tc>
          <w:tcPr>
            <w:gridSpan w:val="5"/>
          </w:tcPr>
          <w:p>
            <w:pPr>
              <w:pStyle w:val="Compact"/>
              <w:jc w:val="left"/>
            </w:pPr>
            <w:r>
              <w:t xml:space="preserve">VAT @ 15% (Saudi Arabia Jeddah)</w:t>
            </w:r>
          </w:p>
        </w:tc>
        <w:tc>
          <w:tcPr/>
          <w:p>
            <w:pPr>
              <w:pStyle w:val="Compact"/>
              <w:jc w:val="left"/>
            </w:pPr>
            <w:r>
              <w:t xml:space="preserve">452,142</w:t>
            </w:r>
          </w:p>
        </w:tc>
      </w:tr>
      <w:tr>
        <w:tc>
          <w:tcPr>
            <w:gridSpan w:val="5"/>
          </w:tcPr>
          <w:p>
            <w:pPr>
              <w:pStyle w:val="Compact"/>
              <w:jc w:val="left"/>
            </w:pPr>
            <w:r>
              <w:rPr>
                <w:bCs/>
                <w:b/>
              </w:rPr>
              <w:t xml:space="preserve">GRAND TOTAL (SAR)</w:t>
            </w:r>
          </w:p>
        </w:tc>
        <w:tc>
          <w:tcPr/>
          <w:p>
            <w:pPr>
              <w:pStyle w:val="Compact"/>
              <w:jc w:val="left"/>
            </w:pPr>
            <w:r>
              <w:rPr>
                <w:bCs/>
                <w:b/>
              </w:rPr>
              <w:t xml:space="preserve">3,466,422</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a non-refundable advance payment of twenty-five percent (25%) of the Grand Total is due upon contract execution. The remaining balance shall be invoiced on a monthly basis, payable within fifteen (15) calendar days of invoice receipt. All payments shall be made in Saudi Riyals (SAR) via bank transfer to the designated account of Culinary Excellence Services Co. Ltd. in</w:t>
      </w:r>
      <w:r>
        <w:t xml:space="preserve"> </w:t>
      </w:r>
      <w:r>
        <w:t xml:space="preserve">Saudi Arabia Jeddah</w:t>
      </w:r>
      <w:r>
        <w:t xml:space="preserve">. Late payments shall attract a penalty of two percent (2%)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market conditions in</w:t>
      </w:r>
      <w:r>
        <w:t xml:space="preserve"> </w:t>
      </w:r>
      <w:r>
        <w:t xml:space="preserve">Saudi Arabia Jeddah</w:t>
      </w:r>
      <w:r>
        <w:t xml:space="preserve">.</w:t>
      </w:r>
    </w:p>
    <w:p>
      <w:pPr>
        <w:numPr>
          <w:ilvl w:val="0"/>
          <w:numId w:val="1002"/>
        </w:numPr>
        <w:pStyle w:val="Compact"/>
      </w:pPr>
      <w:r>
        <w:t xml:space="preserve">All</w:t>
      </w:r>
      <w:r>
        <w:t xml:space="preserve"> </w:t>
      </w:r>
      <w:r>
        <w:t xml:space="preserve">Chef</w:t>
      </w:r>
      <w:r>
        <w:t xml:space="preserve"> </w:t>
      </w:r>
      <w:r>
        <w:t xml:space="preserve">personnel engaged under this agreement shall hold valid work permits, medical clearances, and professional certifications as required by the Saudi Ministry of Human Resources and Social Development.</w:t>
      </w:r>
    </w:p>
    <w:p>
      <w:pPr>
        <w:numPr>
          <w:ilvl w:val="0"/>
          <w:numId w:val="1002"/>
        </w:numPr>
        <w:pStyle w:val="Compact"/>
      </w:pPr>
      <w:r>
        <w:t xml:space="preserve">The</w:t>
      </w:r>
      <w:r>
        <w:t xml:space="preserve"> </w:t>
      </w:r>
      <w:r>
        <w:t xml:space="preserve">Chef</w:t>
      </w:r>
      <w:r>
        <w:t xml:space="preserve"> </w:t>
      </w:r>
      <w:r>
        <w:t xml:space="preserve">team shall adhere to all local food safety regulations, municipal bylaws, and the standards set by the Saudi Food and Drug Authority (SFDA) while operating in</w:t>
      </w:r>
      <w:r>
        <w:t xml:space="preserve"> </w:t>
      </w:r>
      <w:r>
        <w:t xml:space="preserve">Saudi Arabia Jeddah</w:t>
      </w:r>
      <w:r>
        <w:t xml:space="preserve">.</w:t>
      </w:r>
    </w:p>
    <w:p>
      <w:pPr>
        <w:numPr>
          <w:ilvl w:val="0"/>
          <w:numId w:val="1002"/>
        </w:numPr>
        <w:pStyle w:val="Compact"/>
      </w:pPr>
      <w:r>
        <w:t xml:space="preserve">Either party may terminate the engagement with a written notice of sixty (60) days. In the event of early termination, a pro-rata charge for the remaining contracted period shall apply.</w:t>
      </w:r>
    </w:p>
    <w:p>
      <w:pPr>
        <w:numPr>
          <w:ilvl w:val="0"/>
          <w:numId w:val="1002"/>
        </w:numPr>
        <w:pStyle w:val="Compact"/>
      </w:pPr>
      <w:r>
        <w:t xml:space="preserve">All intellectual property, including proprietary recipes and menu designs developed by the</w:t>
      </w:r>
      <w:r>
        <w:t xml:space="preserve"> </w:t>
      </w:r>
      <w:r>
        <w:t xml:space="preserve">Chef</w:t>
      </w:r>
      <w:r>
        <w:t xml:space="preserve"> </w:t>
      </w:r>
      <w:r>
        <w:t xml:space="preserve">team during the engagement, shall remain the property of Culinary Excellence Services Co. Ltd. unless otherwise agreed in writing.</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The terms herein are indicative and subject to final contractual negotiation.</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agreement shall be resolved through arbitration in Jeddah,</w:t>
      </w:r>
      <w:r>
        <w:t xml:space="preserve"> </w:t>
      </w:r>
      <w:r>
        <w:t xml:space="preserve">Saudi Arabia</w:t>
      </w:r>
      <w:r>
        <w:t xml:space="preserve">, in accordance with the rules of the Saudi Center for Commercial Arbitration.</w:t>
      </w:r>
    </w:p>
    <w:p>
      <w:pPr>
        <w:pStyle w:val="FirstParagraph"/>
      </w:pPr>
      <w:r>
        <w:rPr>
          <w:bCs/>
          <w:b/>
        </w:rPr>
        <w:t xml:space="preserve">Note:</w:t>
      </w:r>
      <w:r>
        <w:t xml:space="preserve"> </w:t>
      </w:r>
      <w:r>
        <w:t xml:space="preserve">This Quotation Estimate assumes standard operating hours of ten (10) hours per day, six (6) days per week for the Chef team. Overtime, public holiday work, or additional event requests beyond the allocated fifty (50) events per year will be billed separately at the prevailing overtime rates specified in the formal Service Agreement. All prices are exclusive of any third-party supplier costs for raw ingredients, which shall be procured directly by the client or through a mutually agreed purchasing arrangement.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w:t>
      </w:r>
      <w:r>
        <w:t xml:space="preserve"> </w:t>
      </w:r>
      <w:r>
        <w:t xml:space="preserve">Chef</w:t>
      </w:r>
      <w:r>
        <w:t xml:space="preserve"> </w:t>
      </w:r>
      <w:r>
        <w:t xml:space="preserve">services, pricing, and terms described herein are acceptable for implementation at the designated location in</w:t>
      </w:r>
      <w:r>
        <w:t xml:space="preserve"> </w:t>
      </w:r>
      <w:r>
        <w:t xml:space="preserve">Saudi Arabia Jeddah</w:t>
      </w:r>
      <w:r>
        <w:t xml:space="preserve">. This signature does not constitute a final contract but serves as a formal expression of intent to proceed to the contractual phase.</w:t>
      </w:r>
    </w:p>
    <w:p>
      <w:pPr>
        <w:pStyle w:val="BodyText"/>
      </w:pPr>
      <w:r>
        <w:rPr>
          <w:bCs/>
          <w:b/>
        </w:rPr>
        <w:t xml:space="preserve">For: Culinary Excellence Services Co. Ltd.</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Al Noor Hospitality Group</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QTE-JED-2025-0347 | Culinary Excellence Services Co. Ltd. | Jeddah, Saudi Arabia</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Saudi Arabia Jeddah</dc:title>
  <dc:creator/>
  <dc:language>en</dc:language>
  <cp:keywords/>
  <dcterms:created xsi:type="dcterms:W3CDTF">2026-10-10T03:38:29Z</dcterms:created>
  <dcterms:modified xsi:type="dcterms:W3CDTF">2026-10-10T03:38:29Z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