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Chef Services — United Arab Emirates Dubai</w:t>
      </w:r>
    </w:p>
    <w:bookmarkEnd w:id="20"/>
    <w:bookmarkStart w:id="21" w:name="provider"/>
    <w:p>
      <w:pPr>
        <w:pStyle w:val="Heading3"/>
      </w:pPr>
      <w:r>
        <w:t xml:space="preserve">Provider</w:t>
      </w:r>
    </w:p>
    <w:p>
      <w:pPr>
        <w:pStyle w:val="FirstParagraph"/>
      </w:pPr>
      <w:r>
        <w:rPr>
          <w:bCs/>
          <w:b/>
        </w:rPr>
        <w:t xml:space="preserve">Golden Fork Culinary Services LLC</w:t>
      </w:r>
    </w:p>
    <w:p>
      <w:pPr>
        <w:pStyle w:val="BodyText"/>
      </w:pPr>
      <w:r>
        <w:t xml:space="preserve">Office 1204, Level 12, Marina Plaza Tower</w:t>
      </w:r>
    </w:p>
    <w:p>
      <w:pPr>
        <w:pStyle w:val="BodyText"/>
      </w:pPr>
      <w:r>
        <w:t xml:space="preserve">Jumeirah Marina, Dubai, United Arab Emirates</w:t>
      </w:r>
    </w:p>
    <w:p>
      <w:pPr>
        <w:pStyle w:val="BodyText"/>
      </w:pPr>
      <w:r>
        <w:t xml:space="preserve">Tel: +971 4 555 0192</w:t>
      </w:r>
    </w:p>
    <w:p>
      <w:pPr>
        <w:pStyle w:val="BodyText"/>
      </w:pPr>
      <w:r>
        <w:t xml:space="preserve">Email: estimates@goldenfork.ae</w:t>
      </w:r>
    </w:p>
    <w:p>
      <w:pPr>
        <w:pStyle w:val="BodyText"/>
      </w:pPr>
      <w:r>
        <w:t xml:space="preserve">Trade License No: 1048293</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QFE-2025-04871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Al Maktoum Hospitality Group</w:t>
      </w:r>
    </w:p>
    <w:p>
      <w:pPr>
        <w:pStyle w:val="BodyText"/>
      </w:pPr>
      <w:r>
        <w:rPr>
          <w:bCs/>
          <w:b/>
        </w:rPr>
        <w:t xml:space="preserve">Client Address:</w:t>
      </w:r>
      <w:r>
        <w:t xml:space="preserve"> </w:t>
      </w:r>
      <w:r>
        <w:t xml:space="preserve">Sheikh Zayed Road, Dubai, United Arab Emirates</w:t>
      </w:r>
    </w:p>
    <w:p>
      <w:pPr>
        <w:pStyle w:val="BodyText"/>
      </w:pPr>
      <w:r>
        <w:rPr>
          <w:bCs/>
          <w:b/>
        </w:rPr>
        <w:t xml:space="preserve">Project Reference:</w:t>
      </w:r>
      <w:r>
        <w:t xml:space="preserve"> </w:t>
      </w:r>
      <w:r>
        <w:t xml:space="preserve">Private Chef Engagement — Q3 2025</w:t>
      </w:r>
    </w:p>
    <w:bookmarkEnd w:id="22"/>
    <w:p>
      <w:pPr>
        <w:pStyle w:val="BodyText"/>
      </w:pPr>
      <w:r>
        <w:t xml:space="preserve">1. Scope of Services — Chef Engagement in United Arab Emirates Dubai</w:t>
      </w:r>
    </w:p>
    <w:p>
      <w:pPr>
        <w:pStyle w:val="BodyText"/>
      </w:pPr>
      <w:r>
        <w:t xml:space="preserve">This</w:t>
      </w:r>
      <w:r>
        <w:t xml:space="preserve"> </w:t>
      </w:r>
      <w:r>
        <w:t xml:space="preserve">Quotation Estimate</w:t>
      </w:r>
      <w:r>
        <w:t xml:space="preserve"> </w:t>
      </w:r>
      <w:r>
        <w:t xml:space="preserve">is issued by Golden Fork Culinary Services LLC to provide a comprehensive and itemized cost breakdown for the engagement of a professional</w:t>
      </w:r>
      <w:r>
        <w:t xml:space="preserve"> </w:t>
      </w:r>
      <w:r>
        <w:t xml:space="preserve">Chef</w:t>
      </w:r>
      <w:r>
        <w:t xml:space="preserve"> </w:t>
      </w:r>
      <w:r>
        <w:t xml:space="preserve">to deliver private culinary services within the emirate of Dubai, United Arab Emirates. The</w:t>
      </w:r>
      <w:r>
        <w:t xml:space="preserve"> </w:t>
      </w:r>
      <w:r>
        <w:t xml:space="preserve">Chef</w:t>
      </w:r>
      <w:r>
        <w:t xml:space="preserve"> </w:t>
      </w:r>
      <w:r>
        <w:t xml:space="preserve">will be responsible for menu planning, ingredient procurement coordination, on-site food preparation, plating, and post-service kitchen management for the client's residential and corporate events throughout the third quarter of 2025. All services will be rendered in compliance with the Dubai Municipality Food Safety Regulations and the United Arab Emirates Federal Food Safety Law.</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Executive Chef — Full-time private engagement (8-hour shifts, 5 days/week) for residential catering in Dubai, United Arab Emirates</w:t>
            </w:r>
          </w:p>
        </w:tc>
        <w:tc>
          <w:tcPr/>
          <w:p>
            <w:pPr>
              <w:pStyle w:val="Compact"/>
              <w:jc w:val="left"/>
            </w:pPr>
            <w:r>
              <w:t xml:space="preserve">13 weeks</w:t>
            </w:r>
          </w:p>
        </w:tc>
        <w:tc>
          <w:tcPr/>
          <w:p>
            <w:pPr>
              <w:pStyle w:val="Compact"/>
              <w:jc w:val="left"/>
            </w:pPr>
            <w:r>
              <w:t xml:space="preserve">12,500.00</w:t>
            </w:r>
          </w:p>
        </w:tc>
        <w:tc>
          <w:tcPr/>
          <w:p>
            <w:pPr>
              <w:pStyle w:val="Compact"/>
              <w:jc w:val="left"/>
            </w:pPr>
            <w:r>
              <w:t xml:space="preserve">162,500.00</w:t>
            </w:r>
          </w:p>
        </w:tc>
      </w:tr>
      <w:tr>
        <w:tc>
          <w:tcPr/>
          <w:p>
            <w:pPr>
              <w:pStyle w:val="Compact"/>
              <w:jc w:val="left"/>
            </w:pPr>
            <w:r>
              <w:t xml:space="preserve">02</w:t>
            </w:r>
          </w:p>
        </w:tc>
        <w:tc>
          <w:tcPr/>
          <w:p>
            <w:pPr>
              <w:pStyle w:val="Compact"/>
              <w:jc w:val="left"/>
            </w:pPr>
            <w:r>
              <w:t xml:space="preserve">Pastry Chef — Weekly dessert and confectionery preparation (4-hour shifts, 2 days/week)</w:t>
            </w:r>
          </w:p>
        </w:tc>
        <w:tc>
          <w:tcPr/>
          <w:p>
            <w:pPr>
              <w:pStyle w:val="Compact"/>
              <w:jc w:val="left"/>
            </w:pPr>
            <w:r>
              <w:t xml:space="preserve">13 weeks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03</w:t>
            </w:r>
          </w:p>
        </w:tc>
        <w:tc>
          <w:tcPr/>
          <w:p>
            <w:pPr>
              <w:pStyle w:val="Compact"/>
              <w:jc w:val="left"/>
            </w:pPr>
            <w:r>
              <w:t xml:space="preserve">Menu Design &amp; Dietary Consultation — Customized weekly menus accommodating halal requirements, allergen management, and cultural preferences specific to the United Arab Emirates Dubai clientele</w:t>
            </w:r>
          </w:p>
        </w:tc>
        <w:tc>
          <w:tcPr/>
          <w:p>
            <w:pPr>
              <w:pStyle w:val="Compact"/>
              <w:jc w:val="left"/>
            </w:pPr>
            <w:r>
              <w:t xml:space="preserve">13 weeks</w:t>
            </w:r>
          </w:p>
        </w:tc>
        <w:tc>
          <w:tcPr/>
          <w:p>
            <w:pPr>
              <w:pStyle w:val="Compact"/>
              <w:jc w:val="left"/>
            </w:pPr>
            <w:r>
              <w:t xml:space="preserve">1,800.00</w:t>
            </w:r>
          </w:p>
        </w:tc>
        <w:tc>
          <w:tcPr/>
          <w:p>
            <w:pPr>
              <w:pStyle w:val="Compact"/>
              <w:jc w:val="left"/>
            </w:pPr>
            <w:r>
              <w:t xml:space="preserve">23,400.00</w:t>
            </w:r>
          </w:p>
        </w:tc>
      </w:tr>
      <w:tr>
        <w:tc>
          <w:tcPr/>
          <w:p>
            <w:pPr>
              <w:pStyle w:val="Compact"/>
              <w:jc w:val="left"/>
            </w:pPr>
            <w:r>
              <w:t xml:space="preserve">04</w:t>
            </w:r>
          </w:p>
        </w:tc>
        <w:tc>
          <w:tcPr/>
          <w:p>
            <w:pPr>
              <w:pStyle w:val="Compact"/>
              <w:jc w:val="left"/>
            </w:pPr>
            <w:r>
              <w:t xml:space="preserve">Ingredient Procurement &amp; Market Sourcing — Chef-managed purchasing from Dubai Foodstuffs Market, Landmark, and specialty importers in the United Arab Emirates</w:t>
            </w:r>
          </w:p>
        </w:tc>
        <w:tc>
          <w:tcPr/>
          <w:p>
            <w:pPr>
              <w:pStyle w:val="Compact"/>
              <w:jc w:val="left"/>
            </w:pPr>
            <w:r>
              <w:t xml:space="preserve">13 weeks</w:t>
            </w:r>
          </w:p>
        </w:tc>
        <w:tc>
          <w:tcPr/>
          <w:p>
            <w:pPr>
              <w:pStyle w:val="Compact"/>
              <w:jc w:val="left"/>
            </w:pPr>
            <w:r>
              <w:t xml:space="preserve">3,500.00</w:t>
            </w:r>
          </w:p>
        </w:tc>
        <w:tc>
          <w:tcPr/>
          <w:p>
            <w:pPr>
              <w:pStyle w:val="Compact"/>
              <w:jc w:val="left"/>
            </w:pPr>
            <w:r>
              <w:t xml:space="preserve">45,500.00</w:t>
            </w:r>
          </w:p>
        </w:tc>
      </w:tr>
      <w:tr>
        <w:tc>
          <w:tcPr/>
          <w:p>
            <w:pPr>
              <w:pStyle w:val="Compact"/>
              <w:jc w:val="left"/>
            </w:pPr>
            <w:r>
              <w:t xml:space="preserve">05</w:t>
            </w:r>
          </w:p>
        </w:tc>
        <w:tc>
          <w:tcPr/>
          <w:p>
            <w:pPr>
              <w:pStyle w:val="Compact"/>
              <w:jc w:val="left"/>
            </w:pPr>
            <w:r>
              <w:t xml:space="preserve">Corporate Event Chef Support — On-site preparation for up to 4 private corporate dinners (120 guests each) at client's office, Dubai, UAE</w:t>
            </w:r>
          </w:p>
        </w:tc>
        <w:tc>
          <w:tcPr/>
          <w:p>
            <w:pPr>
              <w:pStyle w:val="Compact"/>
              <w:jc w:val="left"/>
            </w:pPr>
            <w:r>
              <w:t xml:space="preserve">4 events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06</w:t>
            </w:r>
          </w:p>
        </w:tc>
        <w:tc>
          <w:tcPr/>
          <w:p>
            <w:pPr>
              <w:pStyle w:val="Compact"/>
              <w:jc w:val="left"/>
            </w:pPr>
            <w:r>
              <w:t xml:space="preserve">Kitchen Equipment Rental &amp; Setup — Portable induction units, professional ovens, and refrigeration for off-site events in United Arab Emirates Dubai</w:t>
            </w:r>
          </w:p>
        </w:tc>
        <w:tc>
          <w:tcPr/>
          <w:p>
            <w:pPr>
              <w:pStyle w:val="Compact"/>
              <w:jc w:val="left"/>
            </w:pPr>
            <w:r>
              <w:t xml:space="preserve">4 events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07</w:t>
            </w:r>
          </w:p>
        </w:tc>
        <w:tc>
          <w:tcPr/>
          <w:p>
            <w:pPr>
              <w:pStyle w:val="Compact"/>
              <w:jc w:val="left"/>
            </w:pPr>
            <w:r>
              <w:t xml:space="preserve">Chef Uniforms, PPE &amp; Hygiene Compliance Kit — Branded attire, hairnets, gloves, and Dubai Municipality food handler certification renewal</w:t>
            </w:r>
          </w:p>
        </w:tc>
        <w:tc>
          <w:tcPr/>
          <w:p>
            <w:pPr>
              <w:pStyle w:val="Compact"/>
              <w:jc w:val="left"/>
            </w:pPr>
            <w:r>
              <w:t xml:space="preserve">1 lot</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08</w:t>
            </w:r>
          </w:p>
        </w:tc>
        <w:tc>
          <w:tcPr/>
          <w:p>
            <w:pPr>
              <w:pStyle w:val="Compact"/>
              <w:jc w:val="left"/>
            </w:pPr>
            <w:r>
              <w:t xml:space="preserve">Transportation &amp; Logistics — Chef travel between client residences and event venues within Dubai, United Arab Emirates (company vehicle)</w:t>
            </w:r>
          </w:p>
        </w:tc>
        <w:tc>
          <w:tcPr/>
          <w:p>
            <w:pPr>
              <w:pStyle w:val="Compact"/>
              <w:jc w:val="left"/>
            </w:pPr>
            <w:r>
              <w:t xml:space="preserve">13 weeks</w:t>
            </w:r>
          </w:p>
        </w:tc>
        <w:tc>
          <w:tcPr/>
          <w:p>
            <w:pPr>
              <w:pStyle w:val="Compact"/>
              <w:jc w:val="left"/>
            </w:pPr>
            <w:r>
              <w:t xml:space="preserve">950.00</w:t>
            </w:r>
          </w:p>
        </w:tc>
        <w:tc>
          <w:tcPr/>
          <w:p>
            <w:pPr>
              <w:pStyle w:val="Compact"/>
              <w:jc w:val="left"/>
            </w:pPr>
            <w:r>
              <w:t xml:space="preserve">12,350.00</w:t>
            </w:r>
          </w:p>
        </w:tc>
      </w:tr>
      <w:tr>
        <w:tc>
          <w:tcPr/>
          <w:p>
            <w:pPr>
              <w:pStyle w:val="Compact"/>
              <w:jc w:val="left"/>
            </w:pPr>
            <w:r>
              <w:t xml:space="preserve">09</w:t>
            </w:r>
          </w:p>
        </w:tc>
        <w:tc>
          <w:tcPr/>
          <w:p>
            <w:pPr>
              <w:pStyle w:val="Compact"/>
              <w:jc w:val="left"/>
            </w:pPr>
            <w:r>
              <w:t xml:space="preserve">Waste Disposal &amp; Environmental Compliance — Licensed food waste removal in accordance with Dubai Municipality environmental bylaws</w:t>
            </w:r>
          </w:p>
        </w:tc>
        <w:tc>
          <w:tcPr/>
          <w:p>
            <w:pPr>
              <w:pStyle w:val="Compact"/>
              <w:jc w:val="left"/>
            </w:pPr>
            <w:r>
              <w:t xml:space="preserve">13 weeks</w:t>
            </w:r>
          </w:p>
        </w:tc>
        <w:tc>
          <w:tcPr/>
          <w:p>
            <w:pPr>
              <w:pStyle w:val="Compact"/>
              <w:jc w:val="left"/>
            </w:pPr>
            <w:r>
              <w:t xml:space="preserve">450.00</w:t>
            </w:r>
          </w:p>
        </w:tc>
        <w:tc>
          <w:tcPr/>
          <w:p>
            <w:pPr>
              <w:pStyle w:val="Compact"/>
              <w:jc w:val="left"/>
            </w:pPr>
            <w:r>
              <w:t xml:space="preserve">5,850.00</w:t>
            </w:r>
          </w:p>
        </w:tc>
      </w:tr>
      <w:tr>
        <w:tc>
          <w:tcPr>
            <w:gridSpan w:val="4"/>
          </w:tcPr>
          <w:p>
            <w:pPr>
              <w:pStyle w:val="Compact"/>
              <w:jc w:val="left"/>
            </w:pPr>
            <w:r>
              <w:t xml:space="preserve">Subtotal (AED)</w:t>
            </w:r>
          </w:p>
        </w:tc>
        <w:tc>
          <w:tcPr/>
          <w:p>
            <w:pPr>
              <w:pStyle w:val="Compact"/>
              <w:jc w:val="left"/>
            </w:pPr>
            <w:r>
              <w:t xml:space="preserve">348,600.00</w:t>
            </w:r>
          </w:p>
        </w:tc>
      </w:tr>
      <w:tr>
        <w:tc>
          <w:tcPr>
            <w:gridSpan w:val="4"/>
          </w:tcPr>
          <w:p>
            <w:pPr>
              <w:pStyle w:val="Compact"/>
              <w:jc w:val="left"/>
            </w:pPr>
            <w:r>
              <w:t xml:space="preserve">VAT @ 5% (United Arab Emirates)</w:t>
            </w:r>
          </w:p>
        </w:tc>
        <w:tc>
          <w:tcPr/>
          <w:p>
            <w:pPr>
              <w:pStyle w:val="Compact"/>
              <w:jc w:val="left"/>
            </w:pPr>
            <w:r>
              <w:t xml:space="preserve">17,430.00</w:t>
            </w:r>
          </w:p>
        </w:tc>
      </w:tr>
      <w:tr>
        <w:tc>
          <w:tcPr>
            <w:gridSpan w:val="4"/>
          </w:tcPr>
          <w:p>
            <w:pPr>
              <w:pStyle w:val="Compact"/>
              <w:jc w:val="left"/>
            </w:pPr>
            <w:r>
              <w:rPr>
                <w:bCs/>
                <w:b/>
              </w:rPr>
              <w:t xml:space="preserve">GRAND TOTAL (AED)</w:t>
            </w:r>
          </w:p>
        </w:tc>
        <w:tc>
          <w:tcPr/>
          <w:p>
            <w:pPr>
              <w:pStyle w:val="Compact"/>
              <w:jc w:val="left"/>
            </w:pPr>
            <w:r>
              <w:rPr>
                <w:bCs/>
                <w:b/>
              </w:rPr>
              <w:t xml:space="preserve">366,030.00</w:t>
            </w:r>
          </w:p>
        </w:tc>
      </w:tr>
    </w:tbl>
    <w:p>
      <w:pPr>
        <w:pStyle w:val="BodyText"/>
      </w:pPr>
      <w:r>
        <w:rPr>
          <w:bCs/>
          <w:b/>
        </w:rPr>
        <w:t xml:space="preserve">Note:</w:t>
      </w:r>
      <w:r>
        <w:t xml:space="preserve"> </w:t>
      </w:r>
      <w:r>
        <w:t xml:space="preserve">All prices in this Quotation Estimate are quoted in United Arab Emirates Dirhams (AED). The Chef engagement is subject to the client providing a dedicated, adequately equipped kitchen space at the designated location in Dubai. Any additional events beyond the four corporate dinners listed will be billed at the standard event rate of AED 8,500 per event plus applicable VAT.</w:t>
      </w:r>
    </w:p>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expiry date, pricing may be revised to reflect changes in ingredient costs, labor market rates, or regulatory requirements in the United Arab Emirates Dubai.</w:t>
      </w:r>
    </w:p>
    <w:p>
      <w:pPr>
        <w:numPr>
          <w:ilvl w:val="0"/>
          <w:numId w:val="1001"/>
        </w:numPr>
        <w:pStyle w:val="Compact"/>
      </w:pPr>
      <w:r>
        <w:t xml:space="preserve">Payment terms: 40% advance payment upon acceptance of this Quotation Estimate, 30% due at the midpoint of the engagement (Week 7), and the remaining 30% within seven (7) business days of the final service delivery. All payments shall be made via bank transfer to the provider's designated corporate account in Dubai, UAE.</w:t>
      </w:r>
    </w:p>
    <w:p>
      <w:pPr>
        <w:numPr>
          <w:ilvl w:val="0"/>
          <w:numId w:val="1001"/>
        </w:numPr>
        <w:pStyle w:val="Compact"/>
      </w:pPr>
      <w:r>
        <w:t xml:space="preserve">The Chef and all supporting culinary staff shall hold valid United Arab Emirates work permits, food handler health certificates issued by Dubai Municipality, and current CPR/first-aid certifications. Copies of all credentials will be provided prior to the commencement of services.</w:t>
      </w:r>
    </w:p>
    <w:p>
      <w:pPr>
        <w:numPr>
          <w:ilvl w:val="0"/>
          <w:numId w:val="1001"/>
        </w:numPr>
        <w:pStyle w:val="Compact"/>
      </w:pPr>
      <w:r>
        <w:t xml:space="preserve">Any cancellation by the client with fewer than fourteen (14) days' written notice will incur a penalty of 25% of the remaining contract value. Cancellation by the provider without just cause will result in a full refund of all pre-paid amounts.</w:t>
      </w:r>
    </w:p>
    <w:p>
      <w:pPr>
        <w:numPr>
          <w:ilvl w:val="0"/>
          <w:numId w:val="1001"/>
        </w:numPr>
        <w:pStyle w:val="Compact"/>
      </w:pPr>
      <w:r>
        <w:t xml:space="preserve">The provider shall maintain comprehensive public liability insurance of not less than AED 5,000,000 covering all operations conducted within the emirate of Dubai, United Arab Emirates.</w:t>
      </w:r>
    </w:p>
    <w:p>
      <w:pPr>
        <w:numPr>
          <w:ilvl w:val="0"/>
          <w:numId w:val="1001"/>
        </w:numPr>
        <w:pStyle w:val="Compact"/>
      </w:pPr>
      <w:r>
        <w:t xml:space="preserve">All menus and culinary content developed by the Chef under this engagement remain the intellectual property of the provider unless otherwise agreed in writing. The client retains the right to request modifications to accommodate dietary restrictions, religious observances, or cultural preferences prevalent in the United Arab Emirates Dubai community.</w:t>
      </w:r>
    </w:p>
    <w:p>
      <w:pPr>
        <w:numPr>
          <w:ilvl w:val="0"/>
          <w:numId w:val="1001"/>
        </w:numPr>
        <w:pStyle w:val="Compact"/>
      </w:pPr>
      <w:r>
        <w:t xml:space="preserve">This Quotation Estimate does not constitute a binding contract until both parties have executed a formal Service Agreement incorporating the terms herein. Governing law shall be the laws of the United Arab Emirates, and any disputes shall be resolved through the Dubai Courts or, at the client's election, the Dubai International Financial Centre (DIFC) Courts.</w:t>
      </w:r>
    </w:p>
    <w:p>
      <w:pPr>
        <w:numPr>
          <w:ilvl w:val="0"/>
          <w:numId w:val="1001"/>
        </w:numPr>
        <w:pStyle w:val="Compact"/>
      </w:pPr>
      <w:r>
        <w:t xml:space="preserve">The Chef shall adhere to all applicable food safety, hygiene, and labor regulations as enforced by the Dubai Municipality, the Ministry of Human Resources and Emiratisation, and the Federal Authority for Consumer Protection in the United Arab Emirates.</w:t>
      </w:r>
    </w:p>
    <w:p>
      <w:pPr>
        <w:pStyle w:val="FirstParagraph"/>
      </w:pPr>
      <w:r>
        <w:t xml:space="preserve">4. Acceptance &amp; Authorization</w:t>
      </w:r>
    </w:p>
    <w:p>
      <w:pPr>
        <w:pStyle w:val="BodyText"/>
      </w:pPr>
      <w:r>
        <w:t xml:space="preserve">By signing below, the client acknowledges receipt of this Quotation Estimate for Chef services in United Arab Emirates Dubai and agrees to the terms, conditions, and pricing outlined in this document. The provider confirms its commitment to deliver the specified culinary services to the highest professional standard.</w:t>
      </w:r>
    </w:p>
    <w:p>
      <w:pPr>
        <w:pStyle w:val="BodyText"/>
      </w:pPr>
      <w:r>
        <w:rPr>
          <w:bCs/>
          <w:b/>
        </w:rPr>
        <w:t xml:space="preserve">For and on behalf of:</w:t>
      </w:r>
      <w:r>
        <w:br/>
      </w:r>
      <w:r>
        <w:t xml:space="preserve">Golden Fork Culinary Services LLC</w:t>
      </w:r>
    </w:p>
    <w:p>
      <w:pPr>
        <w:pStyle w:val="BodyText"/>
      </w:pPr>
      <w:r>
        <w:t xml:space="preserve">Authorized Signatory</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and on behalf of:</w:t>
      </w:r>
      <w:r>
        <w:br/>
      </w:r>
      <w:r>
        <w:t xml:space="preserve">Al Maktoum Hospitality Group</w:t>
      </w:r>
    </w:p>
    <w:p>
      <w:pPr>
        <w:pStyle w:val="BodyText"/>
      </w:pPr>
      <w:r>
        <w:t xml:space="preserve">Authorized Signatory</w:t>
      </w:r>
      <w:r>
        <w:br/>
      </w:r>
      <w:r>
        <w:t xml:space="preserve">Name: _______________________</w:t>
      </w:r>
      <w:r>
        <w:br/>
      </w:r>
      <w:r>
        <w:t xml:space="preserve">Title: _______________________</w:t>
      </w:r>
      <w:r>
        <w:br/>
      </w:r>
      <w:r>
        <w:t xml:space="preserve">Date: _______________________</w:t>
      </w:r>
    </w:p>
    <w:p>
      <w:pPr>
        <w:pStyle w:val="BodyText"/>
      </w:pPr>
      <w:r>
        <w:t xml:space="preserve">Golden Fork Culinary Services LLC — Jumeirah Marina, Dubai, United Arab Emirates — CR: 1048293 — VAT: 100234567800003</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Quotation Estimate No. QFE-2025-04871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United Arab Emirates Dubai</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