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Elite Culinary Services Ltd.</w:t>
      </w:r>
    </w:p>
    <w:p>
      <w:pPr>
        <w:pStyle w:val="BodyText"/>
      </w:pPr>
      <w:r>
        <w:t xml:space="preserve">12 Savile Row, Mayfair, London, W1S 4NP, United Kingdom</w:t>
      </w:r>
    </w:p>
    <w:p>
      <w:pPr>
        <w:pStyle w:val="BodyText"/>
      </w:pPr>
      <w:r>
        <w:t xml:space="preserve">Tel: +44 (0)20 7946 0123 | Email: quotations@eliteculinary.co.uk</w:t>
      </w:r>
    </w:p>
    <w:p>
      <w:pPr>
        <w:pStyle w:val="BodyText"/>
      </w:pPr>
      <w:r>
        <w:t xml:space="preserve">Company Registration No. 09876543 | VAT No. GB 123 4567 89</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p>
    <w:p>
      <w:pPr>
        <w:pStyle w:val="BodyText"/>
      </w:pPr>
      <w:r>
        <w:t xml:space="preserve">Mr. James Whitfield</w:t>
      </w:r>
    </w:p>
    <w:p>
      <w:pPr>
        <w:pStyle w:val="BodyText"/>
      </w:pPr>
      <w:r>
        <w:t xml:space="preserve">Whitfield Events &amp; Catering Ltd.</w:t>
      </w:r>
    </w:p>
    <w:p>
      <w:pPr>
        <w:pStyle w:val="BodyText"/>
      </w:pPr>
      <w:r>
        <w:t xml:space="preserve">48 Cheapside, London, EC2V 6BP</w:t>
      </w:r>
    </w:p>
    <w:p>
      <w:pPr>
        <w:pStyle w:val="BodyText"/>
      </w:pPr>
      <w:r>
        <w:t xml:space="preserve">United Kingdom</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Elite Culinary Services Ltd. in response to the formal request submitted by Whitfield Events &amp; Catering Ltd. for the provision of a professional</w:t>
      </w:r>
      <w:r>
        <w:t xml:space="preserve"> </w:t>
      </w:r>
      <w:r>
        <w:t xml:space="preserve">Chef</w:t>
      </w:r>
      <w:r>
        <w:t xml:space="preserve"> </w:t>
      </w:r>
      <w:r>
        <w:t xml:space="preserve">and associated culinary support staff for a series of private dining events and corporate hospitality functions to be held in</w:t>
      </w:r>
      <w:r>
        <w:t xml:space="preserve"> </w:t>
      </w:r>
      <w:r>
        <w:t xml:space="preserve">United Kingdom London</w:t>
      </w:r>
      <w:r>
        <w:t xml:space="preserve"> </w:t>
      </w:r>
      <w:r>
        <w:t xml:space="preserve">during the period of September 2025 through November 2025. This document sets out the full scope of services, itemised costs, payment schedule, and all applicable terms and conditions governing the engagement.</w:t>
      </w:r>
    </w:p>
    <w:p>
      <w:pPr>
        <w:pStyle w:val="BodyText"/>
      </w:pPr>
      <w:r>
        <w:t xml:space="preserve">The</w:t>
      </w:r>
      <w:r>
        <w:t xml:space="preserve"> </w:t>
      </w:r>
      <w:r>
        <w:t xml:space="preserve">Chef</w:t>
      </w:r>
      <w:r>
        <w:t xml:space="preserve"> </w:t>
      </w:r>
      <w:r>
        <w:t xml:space="preserve">engagement described herein encompasses the supply of a head</w:t>
      </w:r>
      <w:r>
        <w:t xml:space="preserve"> </w:t>
      </w:r>
      <w:r>
        <w:t xml:space="preserve">Chef</w:t>
      </w:r>
      <w:r>
        <w:t xml:space="preserve"> </w:t>
      </w:r>
      <w:r>
        <w:t xml:space="preserve">(minimum 15 years' experience, Michelin-starred background), two sous chefs, and one kitchen porter for each scheduled event. All culinary preparation, plating, and on-site service will be conducted in accordance with the highest standards of British and international gastronomy, fully compliant with the Food Standards Agency regulations applicable to</w:t>
      </w:r>
      <w:r>
        <w:t xml:space="preserve"> </w:t>
      </w:r>
      <w:r>
        <w:t xml:space="preserve">United Kingdom London</w:t>
      </w:r>
      <w:r>
        <w:t xml:space="preserv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Head Chef – Private Dining Event (8-hour engagement, on-site in Central London)</w:t>
            </w:r>
          </w:p>
        </w:tc>
        <w:tc>
          <w:tcPr/>
          <w:p>
            <w:pPr>
              <w:pStyle w:val="Compact"/>
              <w:jc w:val="left"/>
            </w:pPr>
            <w:r>
              <w:t xml:space="preserve">12 events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Sous Chef – Support Staff (8-hour engagement, paired with Head Chef)</w:t>
            </w:r>
          </w:p>
        </w:tc>
        <w:tc>
          <w:tcPr/>
          <w:p>
            <w:pPr>
              <w:pStyle w:val="Compact"/>
              <w:jc w:val="left"/>
            </w:pPr>
            <w:r>
              <w:t xml:space="preserve">24 staff-days</w:t>
            </w:r>
          </w:p>
        </w:tc>
        <w:tc>
          <w:tcPr/>
          <w:p>
            <w:pPr>
              <w:pStyle w:val="Compact"/>
              <w:jc w:val="left"/>
            </w:pPr>
            <w:r>
              <w:t xml:space="preserve">£620.00</w:t>
            </w:r>
          </w:p>
        </w:tc>
        <w:tc>
          <w:tcPr/>
          <w:p>
            <w:pPr>
              <w:pStyle w:val="Compact"/>
              <w:jc w:val="left"/>
            </w:pPr>
            <w:r>
              <w:t xml:space="preserve">£14,880.00</w:t>
            </w:r>
          </w:p>
        </w:tc>
        <w:tc>
          <w:tcPr/>
          <w:p>
            <w:pPr>
              <w:pStyle w:val="Compact"/>
              <w:jc w:val="left"/>
            </w:pPr>
            <w:r>
              <w:t xml:space="preserve">£2,976.00</w:t>
            </w:r>
          </w:p>
        </w:tc>
      </w:tr>
      <w:tr>
        <w:tc>
          <w:tcPr/>
          <w:p>
            <w:pPr>
              <w:pStyle w:val="Compact"/>
              <w:jc w:val="left"/>
            </w:pPr>
            <w:r>
              <w:t xml:space="preserve">03</w:t>
            </w:r>
          </w:p>
        </w:tc>
        <w:tc>
          <w:tcPr/>
          <w:p>
            <w:pPr>
              <w:pStyle w:val="Compact"/>
              <w:jc w:val="left"/>
            </w:pPr>
            <w:r>
              <w:t xml:space="preserve">Kitchen Porter – Equipment Setup, Sanitisation &amp; Breakdown</w:t>
            </w:r>
          </w:p>
        </w:tc>
        <w:tc>
          <w:tcPr/>
          <w:p>
            <w:pPr>
              <w:pStyle w:val="Compact"/>
              <w:jc w:val="left"/>
            </w:pPr>
            <w:r>
              <w:t xml:space="preserve">12 events</w:t>
            </w:r>
          </w:p>
        </w:tc>
        <w:tc>
          <w:tcPr/>
          <w:p>
            <w:pPr>
              <w:pStyle w:val="Compact"/>
              <w:jc w:val="left"/>
            </w:pPr>
            <w:r>
              <w:t xml:space="preserve">£310.00</w:t>
            </w:r>
          </w:p>
        </w:tc>
        <w:tc>
          <w:tcPr/>
          <w:p>
            <w:pPr>
              <w:pStyle w:val="Compact"/>
              <w:jc w:val="left"/>
            </w:pPr>
            <w:r>
              <w:t xml:space="preserve">£3,720.00</w:t>
            </w:r>
          </w:p>
        </w:tc>
        <w:tc>
          <w:tcPr/>
          <w:p>
            <w:pPr>
              <w:pStyle w:val="Compact"/>
              <w:jc w:val="left"/>
            </w:pPr>
            <w:r>
              <w:t xml:space="preserve">£744.00</w:t>
            </w:r>
          </w:p>
        </w:tc>
      </w:tr>
      <w:tr>
        <w:tc>
          <w:tcPr/>
          <w:p>
            <w:pPr>
              <w:pStyle w:val="Compact"/>
              <w:jc w:val="left"/>
            </w:pPr>
            <w:r>
              <w:t xml:space="preserve">04</w:t>
            </w:r>
          </w:p>
        </w:tc>
        <w:tc>
          <w:tcPr/>
          <w:p>
            <w:pPr>
              <w:pStyle w:val="Compact"/>
              <w:jc w:val="left"/>
            </w:pPr>
            <w:r>
              <w:t xml:space="preserve">Menu Development &amp; Tasting Session (per event, conducted in our Mayfair kitchen, United Kingdom London)</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Specialist Equipment Hire (combi-oven, induction range, plating station, transport to venue)</w:t>
            </w:r>
          </w:p>
        </w:tc>
        <w:tc>
          <w:tcPr/>
          <w:p>
            <w:pPr>
              <w:pStyle w:val="Compact"/>
              <w:jc w:val="left"/>
            </w:pPr>
            <w:r>
              <w:t xml:space="preserve">12 events</w:t>
            </w:r>
          </w:p>
        </w:tc>
        <w:tc>
          <w:tcPr/>
          <w:p>
            <w:pPr>
              <w:pStyle w:val="Compact"/>
              <w:jc w:val="left"/>
            </w:pPr>
            <w:r>
              <w:t xml:space="preserve">£780.00</w:t>
            </w:r>
          </w:p>
        </w:tc>
        <w:tc>
          <w:tcPr/>
          <w:p>
            <w:pPr>
              <w:pStyle w:val="Compact"/>
              <w:jc w:val="left"/>
            </w:pPr>
            <w:r>
              <w:t xml:space="preserve">£9,360.00</w:t>
            </w:r>
          </w:p>
        </w:tc>
        <w:tc>
          <w:tcPr/>
          <w:p>
            <w:pPr>
              <w:pStyle w:val="Compact"/>
              <w:jc w:val="left"/>
            </w:pPr>
            <w:r>
              <w:t xml:space="preserve">£1,872.00</w:t>
            </w:r>
          </w:p>
        </w:tc>
      </w:tr>
      <w:tr>
        <w:tc>
          <w:tcPr/>
          <w:p>
            <w:pPr>
              <w:pStyle w:val="Compact"/>
              <w:jc w:val="left"/>
            </w:pPr>
            <w:r>
              <w:t xml:space="preserve">06</w:t>
            </w:r>
          </w:p>
        </w:tc>
        <w:tc>
          <w:tcPr/>
          <w:p>
            <w:pPr>
              <w:pStyle w:val="Compact"/>
              <w:jc w:val="left"/>
            </w:pPr>
            <w:r>
              <w:t xml:space="preserve">Travel &amp; Logistics within Greater London (van hire, parking, congestion charge)</w:t>
            </w:r>
          </w:p>
        </w:tc>
        <w:tc>
          <w:tcPr/>
          <w:p>
            <w:pPr>
              <w:pStyle w:val="Compact"/>
              <w:jc w:val="left"/>
            </w:pPr>
            <w:r>
              <w:t xml:space="preserve">12 events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£528.00</w:t>
            </w:r>
          </w:p>
        </w:tc>
      </w:tr>
      <w:tr>
        <w:tc>
          <w:tcPr/>
          <w:p>
            <w:pPr>
              <w:pStyle w:val="Compact"/>
              <w:jc w:val="left"/>
            </w:pPr>
            <w:r>
              <w:t xml:space="preserve">07</w:t>
            </w:r>
          </w:p>
        </w:tc>
        <w:tc>
          <w:tcPr/>
          <w:p>
            <w:pPr>
              <w:pStyle w:val="Compact"/>
              <w:jc w:val="left"/>
            </w:pPr>
            <w:r>
              <w:t xml:space="preserve">Public Liability Insurance &amp; Employer's Liability (full contract period)</w:t>
            </w:r>
          </w:p>
        </w:tc>
        <w:tc>
          <w:tcPr/>
          <w:p>
            <w:pPr>
              <w:pStyle w:val="Compact"/>
              <w:jc w:val="left"/>
            </w:pPr>
            <w:r>
              <w:t xml:space="preserve">1 contract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Contingency &amp; Overtime Provision (up to 2 hours per event at 1.5× rate)</w:t>
            </w:r>
          </w:p>
        </w:tc>
        <w:tc>
          <w:tcPr/>
          <w:p>
            <w:pPr>
              <w:pStyle w:val="Compact"/>
              <w:jc w:val="left"/>
            </w:pPr>
            <w:r>
              <w:t xml:space="preserve">12 events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£840.00</w:t>
            </w:r>
          </w:p>
        </w:tc>
      </w:tr>
      <w:tr>
        <w:tc>
          <w:tcPr>
            <w:gridSpan w:val="4"/>
          </w:tcPr>
          <w:p>
            <w:pPr>
              <w:pStyle w:val="Compact"/>
              <w:jc w:val="left"/>
            </w:pPr>
            <w:r>
              <w:rPr>
                <w:bCs/>
                <w:b/>
              </w:rPr>
              <w:t xml:space="preserve">Subtotal (Excluding VAT)</w:t>
            </w:r>
          </w:p>
        </w:tc>
        <w:tc>
          <w:tcPr/>
          <w:p>
            <w:pPr>
              <w:pStyle w:val="Compact"/>
              <w:jc w:val="left"/>
            </w:pPr>
            <w:r>
              <w:rPr>
                <w:bCs/>
                <w:b/>
              </w:rPr>
              <w:t xml:space="preserve">£63,600.00</w:t>
            </w:r>
          </w:p>
        </w:tc>
        <w:tc>
          <w:tcPr/>
          <w:p>
            <w:pPr>
              <w:pStyle w:val="Compact"/>
              <w:jc w:val="left"/>
            </w:pPr>
            <w:r>
              <w:rPr>
                <w:bCs/>
                <w:b/>
              </w:rPr>
              <w:t xml:space="preserve">£12,720.00</w:t>
            </w:r>
          </w:p>
        </w:tc>
      </w:tr>
      <w:tr>
        <w:tc>
          <w:tcPr>
            <w:gridSpan w:val="4"/>
          </w:tcPr>
          <w:p>
            <w:pPr>
              <w:pStyle w:val="Compact"/>
              <w:jc w:val="left"/>
            </w:pPr>
            <w:r>
              <w:rPr>
                <w:bCs/>
                <w:b/>
              </w:rPr>
              <w:t xml:space="preserve">GRAND TOTAL (Including VAT at 20%)</w:t>
            </w:r>
          </w:p>
        </w:tc>
        <w:tc>
          <w:tcPr>
            <w:gridSpan w:val="2"/>
          </w:tcPr>
          <w:p>
            <w:pPr>
              <w:pStyle w:val="Compact"/>
              <w:jc w:val="left"/>
            </w:pPr>
            <w:r>
              <w:rPr>
                <w:bCs/>
                <w:b/>
              </w:rPr>
              <w:t xml:space="preserve">£76,320.00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exclusive of the cost of food, beverage, and consumable ingredients, which shall be procured directly by the client or through our optional sourcing service (available at a 10% markup on wholesale cost). The</w:t>
      </w:r>
      <w:r>
        <w:t xml:space="preserve"> </w:t>
      </w:r>
      <w:r>
        <w:t xml:space="preserve">Chef</w:t>
      </w:r>
      <w:r>
        <w:t xml:space="preserve"> </w:t>
      </w:r>
      <w:r>
        <w:t xml:space="preserve">team will provide a detailed ingredient specification sheet 14 days prior to each event.</w:t>
      </w:r>
    </w:p>
    <w:bookmarkEnd w:id="22"/>
    <w:bookmarkStart w:id="23" w:name="schedule-of-events"/>
    <w:p>
      <w:pPr>
        <w:pStyle w:val="Heading2"/>
      </w:pPr>
      <w:r>
        <w:t xml:space="preserve">3. Schedule of Events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Event No.</w:t>
            </w:r>
          </w:p>
        </w:tc>
        <w:tc>
          <w:tcPr/>
          <w:p>
            <w:pPr>
              <w:pStyle w:val="Compact"/>
              <w:jc w:val="left"/>
            </w:pPr>
            <w:r>
              <w:t xml:space="preserve">Date</w:t>
            </w:r>
          </w:p>
        </w:tc>
        <w:tc>
          <w:tcPr/>
          <w:p>
            <w:pPr>
              <w:pStyle w:val="Compact"/>
              <w:jc w:val="left"/>
            </w:pPr>
            <w:r>
              <w:t xml:space="preserve">Venue (United Kingdom London)</w:t>
            </w:r>
          </w:p>
        </w:tc>
        <w:tc>
          <w:tcPr/>
          <w:p>
            <w:pPr>
              <w:pStyle w:val="Compact"/>
              <w:jc w:val="left"/>
            </w:pPr>
            <w:r>
              <w:t xml:space="preserve">Guests</w:t>
            </w:r>
          </w:p>
        </w:tc>
        <w:tc>
          <w:tcPr/>
          <w:p>
            <w:pPr>
              <w:pStyle w:val="Compact"/>
              <w:jc w:val="left"/>
            </w:pPr>
            <w:r>
              <w:t xml:space="preserve">Cuisine Focus</w:t>
            </w:r>
          </w:p>
        </w:tc>
      </w:tr>
      <w:tr>
        <w:tc>
          <w:tcPr/>
          <w:p>
            <w:pPr>
              <w:pStyle w:val="Compact"/>
              <w:jc w:val="left"/>
            </w:pPr>
            <w:r>
              <w:t xml:space="preserve">1</w:t>
            </w:r>
          </w:p>
        </w:tc>
        <w:tc>
          <w:tcPr/>
          <w:p>
            <w:pPr>
              <w:pStyle w:val="Compact"/>
              <w:jc w:val="left"/>
            </w:pPr>
            <w:r>
              <w:t xml:space="preserve">12 Sep 2025</w:t>
            </w:r>
          </w:p>
        </w:tc>
        <w:tc>
          <w:tcPr/>
          <w:p>
            <w:pPr>
              <w:pStyle w:val="Compact"/>
              <w:jc w:val="left"/>
            </w:pPr>
            <w:r>
              <w:t xml:space="preserve">The Ritz, Piccadilly, W1K 1AB</w:t>
            </w:r>
          </w:p>
        </w:tc>
        <w:tc>
          <w:tcPr/>
          <w:p>
            <w:pPr>
              <w:pStyle w:val="Compact"/>
              <w:jc w:val="left"/>
            </w:pPr>
            <w:r>
              <w:t xml:space="preserve">45</w:t>
            </w:r>
          </w:p>
        </w:tc>
        <w:tc>
          <w:tcPr/>
          <w:p>
            <w:pPr>
              <w:pStyle w:val="Compact"/>
              <w:jc w:val="left"/>
            </w:pPr>
            <w:r>
              <w:t xml:space="preserve">Modern British</w:t>
            </w:r>
          </w:p>
        </w:tc>
      </w:tr>
      <w:tr>
        <w:tc>
          <w:tcPr/>
          <w:p>
            <w:pPr>
              <w:pStyle w:val="Compact"/>
              <w:jc w:val="left"/>
            </w:pPr>
            <w:r>
              <w:t xml:space="preserve">2</w:t>
            </w:r>
          </w:p>
        </w:tc>
        <w:tc>
          <w:tcPr/>
          <w:p>
            <w:pPr>
              <w:pStyle w:val="Compact"/>
              <w:jc w:val="left"/>
            </w:pPr>
            <w:r>
              <w:t xml:space="preserve">26 Sep 2025</w:t>
            </w:r>
          </w:p>
        </w:tc>
        <w:tc>
          <w:tcPr/>
          <w:p>
            <w:pPr>
              <w:pStyle w:val="Compact"/>
              <w:jc w:val="left"/>
            </w:pPr>
            <w:r>
              <w:t xml:space="preserve">One Canada Square, Canary Wharf, E14 5AB</w:t>
            </w:r>
          </w:p>
        </w:tc>
        <w:tc>
          <w:tcPr/>
          <w:p>
            <w:pPr>
              <w:pStyle w:val="Compact"/>
              <w:jc w:val="left"/>
            </w:pPr>
            <w:r>
              <w:t xml:space="preserve">80</w:t>
            </w:r>
          </w:p>
        </w:tc>
        <w:tc>
          <w:tcPr/>
          <w:p>
            <w:pPr>
              <w:pStyle w:val="Compact"/>
              <w:jc w:val="left"/>
            </w:pPr>
            <w:r>
              <w:t xml:space="preserve">French Haute Cuisine</w:t>
            </w:r>
          </w:p>
        </w:tc>
      </w:tr>
      <w:tr>
        <w:tc>
          <w:tcPr/>
          <w:p>
            <w:pPr>
              <w:pStyle w:val="Compact"/>
              <w:jc w:val="left"/>
            </w:pPr>
            <w:r>
              <w:t xml:space="preserve">3</w:t>
            </w:r>
          </w:p>
        </w:tc>
        <w:tc>
          <w:tcPr/>
          <w:p>
            <w:pPr>
              <w:pStyle w:val="Compact"/>
              <w:jc w:val="left"/>
            </w:pPr>
            <w:r>
              <w:t xml:space="preserve">10 Oct 2025</w:t>
            </w:r>
          </w:p>
        </w:tc>
        <w:tc>
          <w:tcPr/>
          <w:p>
            <w:pPr>
              <w:pStyle w:val="Compact"/>
              <w:jc w:val="left"/>
            </w:pPr>
            <w:r>
              <w:t xml:space="preserve">Cliveden House, Taplow (day trip from London)</w:t>
            </w:r>
          </w:p>
        </w:tc>
        <w:tc>
          <w:tcPr/>
          <w:p>
            <w:pPr>
              <w:pStyle w:val="Compact"/>
              <w:jc w:val="left"/>
            </w:pPr>
            <w:r>
              <w:t xml:space="preserve">60</w:t>
            </w:r>
          </w:p>
        </w:tc>
        <w:tc>
          <w:tcPr/>
          <w:p>
            <w:pPr>
              <w:pStyle w:val="Compact"/>
              <w:jc w:val="left"/>
            </w:pPr>
            <w:r>
              <w:t xml:space="preserve">Seasonal British</w:t>
            </w:r>
          </w:p>
        </w:tc>
      </w:tr>
      <w:tr>
        <w:tc>
          <w:tcPr/>
          <w:p>
            <w:pPr>
              <w:pStyle w:val="Compact"/>
              <w:jc w:val="left"/>
            </w:pPr>
            <w:r>
              <w:t xml:space="preserve">4</w:t>
            </w:r>
          </w:p>
        </w:tc>
        <w:tc>
          <w:tcPr/>
          <w:p>
            <w:pPr>
              <w:pStyle w:val="Compact"/>
              <w:jc w:val="left"/>
            </w:pPr>
            <w:r>
              <w:t xml:space="preserve">24 Oct 2025</w:t>
            </w:r>
          </w:p>
        </w:tc>
        <w:tc>
          <w:tcPr/>
          <w:p>
            <w:pPr>
              <w:pStyle w:val="Compact"/>
              <w:jc w:val="left"/>
            </w:pPr>
            <w:r>
              <w:t xml:space="preserve">The Savoy, Strand, WC2R 0EZ</w:t>
            </w:r>
          </w:p>
        </w:tc>
        <w:tc>
          <w:tcPr/>
          <w:p>
            <w:pPr>
              <w:pStyle w:val="Compact"/>
              <w:jc w:val="left"/>
            </w:pPr>
            <w:r>
              <w:t xml:space="preserve">35</w:t>
            </w:r>
          </w:p>
        </w:tc>
        <w:tc>
          <w:tcPr/>
          <w:p>
            <w:pPr>
              <w:pStyle w:val="Compact"/>
              <w:jc w:val="left"/>
            </w:pPr>
            <w:r>
              <w:t xml:space="preserve">Italian / Mediterranean</w:t>
            </w:r>
          </w:p>
        </w:tc>
      </w:tr>
      <w:tr>
        <w:tc>
          <w:tcPr/>
          <w:p>
            <w:pPr>
              <w:pStyle w:val="Compact"/>
              <w:jc w:val="left"/>
            </w:pPr>
            <w:r>
              <w:t xml:space="preserve">5</w:t>
            </w:r>
          </w:p>
        </w:tc>
        <w:tc>
          <w:tcPr/>
          <w:p>
            <w:pPr>
              <w:pStyle w:val="Compact"/>
              <w:jc w:val="left"/>
            </w:pPr>
            <w:r>
              <w:t xml:space="preserve">07 Nov 2025</w:t>
            </w:r>
          </w:p>
        </w:tc>
        <w:tc>
          <w:tcPr/>
          <w:p>
            <w:pPr>
              <w:pStyle w:val="Compact"/>
              <w:jc w:val="left"/>
            </w:pPr>
            <w:r>
              <w:t xml:space="preserve">Private Residence, Kensington, W8</w:t>
            </w:r>
          </w:p>
        </w:tc>
        <w:tc>
          <w:tcPr/>
          <w:p>
            <w:pPr>
              <w:pStyle w:val="Compact"/>
              <w:jc w:val="left"/>
            </w:pPr>
            <w:r>
              <w:t xml:space="preserve">20</w:t>
            </w:r>
          </w:p>
        </w:tc>
        <w:tc>
          <w:tcPr/>
          <w:p>
            <w:pPr>
              <w:pStyle w:val="Compact"/>
              <w:jc w:val="left"/>
            </w:pPr>
            <w:r>
              <w:t xml:space="preserve">Personalised / Dietary</w:t>
            </w:r>
          </w:p>
        </w:tc>
      </w:tr>
      <w:tr>
        <w:tc>
          <w:tcPr/>
          <w:p>
            <w:pPr>
              <w:pStyle w:val="Compact"/>
              <w:jc w:val="left"/>
            </w:pPr>
            <w:r>
              <w:t xml:space="preserve">6</w:t>
            </w:r>
          </w:p>
        </w:tc>
        <w:tc>
          <w:tcPr/>
          <w:p>
            <w:pPr>
              <w:pStyle w:val="Compact"/>
              <w:jc w:val="left"/>
            </w:pPr>
            <w:r>
              <w:t xml:space="preserve">21 Nov 2025</w:t>
            </w:r>
          </w:p>
        </w:tc>
        <w:tc>
          <w:tcPr/>
          <w:p>
            <w:pPr>
              <w:pStyle w:val="Compact"/>
              <w:jc w:val="left"/>
            </w:pPr>
            <w:r>
              <w:t xml:space="preserve">Shard Restaurant, SE1 9SG</w:t>
            </w:r>
          </w:p>
        </w:tc>
        <w:tc>
          <w:tcPr/>
          <w:p>
            <w:pPr>
              <w:pStyle w:val="Compact"/>
              <w:jc w:val="left"/>
            </w:pPr>
            <w:r>
              <w:t xml:space="preserve">100</w:t>
            </w:r>
          </w:p>
        </w:tc>
        <w:tc>
          <w:tcPr/>
          <w:p>
            <w:pPr>
              <w:pStyle w:val="Compact"/>
              <w:jc w:val="left"/>
            </w:pPr>
            <w:r>
              <w:t xml:space="preserve">Contemporary Fusion</w:t>
            </w:r>
          </w:p>
        </w:tc>
      </w:tr>
      <w:tr>
        <w:tc>
          <w:tcPr>
            <w:gridSpan w:val="5"/>
          </w:tcPr>
          <w:p>
            <w:pPr>
              <w:pStyle w:val="Compact"/>
              <w:jc w:val="center"/>
            </w:pPr>
            <w:r>
              <w:t xml:space="preserve">(Events 7–12 to be confirmed by 1 August 2025; rates remain as per this Quotation Estimate.)</w:t>
            </w:r>
          </w:p>
        </w:tc>
      </w:tr>
    </w:tbl>
    <w:bookmarkEnd w:id="23"/>
    <w:bookmarkStart w:id="24" w:name="payment-terms"/>
    <w:p>
      <w:pPr>
        <w:pStyle w:val="Heading2"/>
      </w:pPr>
      <w:r>
        <w:t xml:space="preserve">4. Payment Terms</w:t>
      </w:r>
    </w:p>
    <w:p>
      <w:pPr>
        <w:numPr>
          <w:ilvl w:val="0"/>
          <w:numId w:val="1001"/>
        </w:numPr>
        <w:pStyle w:val="Compact"/>
      </w:pPr>
      <w:r>
        <w:t xml:space="preserve">A deposit of</w:t>
      </w:r>
      <w:r>
        <w:t xml:space="preserve"> </w:t>
      </w:r>
      <w:r>
        <w:rPr>
          <w:bCs/>
          <w:b/>
        </w:rPr>
        <w:t xml:space="preserve">30%</w:t>
      </w:r>
      <w:r>
        <w:t xml:space="preserve"> </w:t>
      </w:r>
      <w:r>
        <w:t xml:space="preserve">of the Grand Total (i.e., £22,896.00) is due within 7 working days of acceptance of this</w:t>
      </w:r>
      <w:r>
        <w:t xml:space="preserve"> </w:t>
      </w:r>
      <w:r>
        <w:t xml:space="preserve">Quotation Estimate</w:t>
      </w:r>
      <w:r>
        <w:t xml:space="preserve">.</w:t>
      </w:r>
    </w:p>
    <w:p>
      <w:pPr>
        <w:numPr>
          <w:ilvl w:val="0"/>
          <w:numId w:val="1001"/>
        </w:numPr>
        <w:pStyle w:val="Compact"/>
      </w:pPr>
      <w:r>
        <w:t xml:space="preserve">A further</w:t>
      </w:r>
      <w:r>
        <w:t xml:space="preserve"> </w:t>
      </w:r>
      <w:r>
        <w:rPr>
          <w:bCs/>
          <w:b/>
        </w:rPr>
        <w:t xml:space="preserve">40%</w:t>
      </w:r>
      <w:r>
        <w:t xml:space="preserve"> </w:t>
      </w:r>
      <w:r>
        <w:t xml:space="preserve">(i.e., £30,528.00) is due 14 days prior to the first scheduled event.</w:t>
      </w:r>
    </w:p>
    <w:p>
      <w:pPr>
        <w:numPr>
          <w:ilvl w:val="0"/>
          <w:numId w:val="1001"/>
        </w:numPr>
        <w:pStyle w:val="Compact"/>
      </w:pPr>
      <w:r>
        <w:t xml:space="preserve">The remaining</w:t>
      </w:r>
      <w:r>
        <w:t xml:space="preserve"> </w:t>
      </w:r>
      <w:r>
        <w:rPr>
          <w:bCs/>
          <w:b/>
        </w:rPr>
        <w:t xml:space="preserve">30%</w:t>
      </w:r>
      <w:r>
        <w:t xml:space="preserve"> </w:t>
      </w:r>
      <w:r>
        <w:t xml:space="preserve">(i.e., £22,896.00) is due within 14 days of completion of the final event.</w:t>
      </w:r>
    </w:p>
    <w:p>
      <w:pPr>
        <w:numPr>
          <w:ilvl w:val="0"/>
          <w:numId w:val="1001"/>
        </w:numPr>
        <w:pStyle w:val="Compact"/>
      </w:pPr>
      <w:r>
        <w:t xml:space="preserve">All payments shall be made by BACS transfer to: Elite Culinary Services Ltd., Sort Code: 80-15-30, Account No: 55667788, Bank: Barclays, London, United Kingdom.</w:t>
      </w:r>
    </w:p>
    <w:p>
      <w:pPr>
        <w:numPr>
          <w:ilvl w:val="0"/>
          <w:numId w:val="1001"/>
        </w:numPr>
        <w:pStyle w:val="Compact"/>
      </w:pPr>
      <w:r>
        <w:t xml:space="preserve">Late payments shall attract interest at 2% per month (or the rate prescribed under the Late Payment of Commercial Debts (Interest) Act 1998, whichever is higher).</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all rates are subject to revision due to market fluctuations in labour costs within</w:t>
      </w:r>
      <w:r>
        <w:t xml:space="preserve"> </w:t>
      </w:r>
      <w:r>
        <w:t xml:space="preserve">United Kingdom London</w:t>
      </w:r>
      <w:r>
        <w:t xml:space="preserve">.</w:t>
      </w:r>
    </w:p>
    <w:p>
      <w:pPr>
        <w:numPr>
          <w:ilvl w:val="0"/>
          <w:numId w:val="1002"/>
        </w:numPr>
        <w:pStyle w:val="Compact"/>
      </w:pPr>
      <w:r>
        <w:t xml:space="preserve">The</w:t>
      </w:r>
      <w:r>
        <w:t xml:space="preserve"> </w:t>
      </w:r>
      <w:r>
        <w:t xml:space="preserve">Chef</w:t>
      </w:r>
      <w:r>
        <w:t xml:space="preserve"> </w:t>
      </w:r>
      <w:r>
        <w:t xml:space="preserve">and support staff are employees of Elite Culinary Services Ltd. and not agents of the client. The client assumes no employer liability for the</w:t>
      </w:r>
      <w:r>
        <w:t xml:space="preserve"> </w:t>
      </w:r>
      <w:r>
        <w:t xml:space="preserve">Chef</w:t>
      </w:r>
      <w:r>
        <w:t xml:space="preserve"> </w:t>
      </w:r>
      <w:r>
        <w:t xml:space="preserve">team.</w:t>
      </w:r>
    </w:p>
    <w:p>
      <w:pPr>
        <w:numPr>
          <w:ilvl w:val="0"/>
          <w:numId w:val="1002"/>
        </w:numPr>
        <w:pStyle w:val="Compact"/>
      </w:pPr>
      <w:r>
        <w:t xml:space="preserve">All services shall be performed in strict compliance with the Food Safety Act 1990, the Health and Safety at Work etc. Act 1974, and all applicable local authority regulations in the London Borough where the event is held.</w:t>
      </w:r>
    </w:p>
    <w:p>
      <w:pPr>
        <w:numPr>
          <w:ilvl w:val="0"/>
          <w:numId w:val="1002"/>
        </w:numPr>
        <w:pStyle w:val="Compact"/>
      </w:pPr>
      <w:r>
        <w:t xml:space="preserve">The client shall provide a suitable, licensed kitchen or catering space at each venue. If the venue does not meet the minimum specifications outlined in Appendix A (attached separately), an additional site-preparation fee of £500.00 per event will apply.</w:t>
      </w:r>
    </w:p>
    <w:p>
      <w:pPr>
        <w:numPr>
          <w:ilvl w:val="0"/>
          <w:numId w:val="1002"/>
        </w:numPr>
        <w:pStyle w:val="Compact"/>
      </w:pPr>
      <w:r>
        <w:t xml:space="preserve">Cancellation by the client more than 21 days before an event incurs a 25% fee on that event's allocated cost. Cancellation between 7 and 21 days incurs 50%. Cancellation within 7 days incurs 100% of the event cost.</w:t>
      </w:r>
    </w:p>
    <w:p>
      <w:pPr>
        <w:numPr>
          <w:ilvl w:val="0"/>
          <w:numId w:val="1002"/>
        </w:numPr>
        <w:pStyle w:val="Compact"/>
      </w:pPr>
      <w:r>
        <w:t xml:space="preserve">Force majeure events (including but not limited to severe weather, public transport strikes in London, or government-mandated closures) shall relieve both parties of performance obligations without penalty.</w:t>
      </w:r>
    </w:p>
    <w:p>
      <w:pPr>
        <w:numPr>
          <w:ilvl w:val="0"/>
          <w:numId w:val="1002"/>
        </w:numPr>
        <w:pStyle w:val="Compact"/>
      </w:pPr>
      <w:r>
        <w:t xml:space="preserve">This</w:t>
      </w:r>
      <w:r>
        <w:t xml:space="preserve"> </w:t>
      </w:r>
      <w:r>
        <w:t xml:space="preserve">Quotation Estimate</w:t>
      </w:r>
      <w:r>
        <w:t xml:space="preserve"> </w:t>
      </w:r>
      <w:r>
        <w:t xml:space="preserve">and any resulting contract shall be governed by and construed in accordance with the laws of England and Wales. Any disputes shall be subject to the exclusive jurisdiction of the courts of</w:t>
      </w:r>
      <w:r>
        <w:t xml:space="preserve"> </w:t>
      </w:r>
      <w:r>
        <w:t xml:space="preserve">United Kingdom London</w:t>
      </w:r>
      <w:r>
        <w:t xml:space="preserve">.</w:t>
      </w:r>
    </w:p>
    <w:p>
      <w:pPr>
        <w:numPr>
          <w:ilvl w:val="0"/>
          <w:numId w:val="1002"/>
        </w:numPr>
        <w:pStyle w:val="Compact"/>
      </w:pPr>
      <w:r>
        <w:t xml:space="preserve">Elite Culinary Services Ltd. maintains Public Liability Insurance of £10,000,000 and Employer's Liability Insurance of £10,000,000, both valid throughout the contract period.</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Elite Culinary Services Ltd. to proceed with the booking of the</w:t>
      </w:r>
      <w:r>
        <w:t xml:space="preserve"> </w:t>
      </w:r>
      <w:r>
        <w:t xml:space="preserve">Chef</w:t>
      </w:r>
      <w:r>
        <w:t xml:space="preserve"> </w:t>
      </w:r>
      <w:r>
        <w:t xml:space="preserve">team and associated resources for the events listed herein in</w:t>
      </w:r>
      <w:r>
        <w:t xml:space="preserve"> </w:t>
      </w:r>
      <w:r>
        <w:t xml:space="preserve">United Kingdom London</w:t>
      </w:r>
      <w:r>
        <w:t xml:space="preserve">.</w:t>
      </w:r>
    </w:p>
    <w:p>
      <w:pPr>
        <w:pStyle w:val="BodyText"/>
      </w:pPr>
      <w:r>
        <w:rPr>
          <w:bCs/>
          <w:b/>
        </w:rPr>
        <w:t xml:space="preserve">For and on behalf of Elite Culinary Services Ltd.:</w:t>
      </w:r>
    </w:p>
    <w:p>
      <w:pPr>
        <w:pStyle w:val="BodyText"/>
      </w:pPr>
      <w:r>
        <w:t xml:space="preserve">Name: Sarah Pemberton, Managing Director</w:t>
      </w:r>
      <w:r>
        <w:br/>
      </w:r>
      <w:r>
        <w:t xml:space="preserve">Signature: _________________________</w:t>
      </w:r>
      <w:r>
        <w:br/>
      </w:r>
      <w:r>
        <w:t xml:space="preserve">Date: _________________________</w:t>
      </w:r>
    </w:p>
    <w:p>
      <w:pPr>
        <w:pStyle w:val="BodyText"/>
      </w:pPr>
      <w:r>
        <w:rPr>
          <w:bCs/>
          <w:b/>
        </w:rPr>
        <w:t xml:space="preserve">For and on behalf of Whitfield Events &amp; Catering Ltd.:</w:t>
      </w:r>
    </w:p>
    <w:p>
      <w:pPr>
        <w:pStyle w:val="BodyText"/>
      </w:pPr>
      <w:r>
        <w:t xml:space="preserve">Name: James Whitfield, Director</w:t>
      </w:r>
      <w:r>
        <w:br/>
      </w:r>
      <w:r>
        <w:t xml:space="preserve">Signature: _________________________</w:t>
      </w:r>
      <w:r>
        <w:br/>
      </w:r>
      <w:r>
        <w:t xml:space="preserve">Date: _________________________</w:t>
      </w:r>
    </w:p>
    <w:p>
      <w:pPr>
        <w:pStyle w:val="BodyText"/>
      </w:pPr>
      <w:r>
        <w:t xml:space="preserve">Elite Culinary Services Ltd. | 12 Savile Row, Mayfair, London, W1S 4NP, United Kingdom | Registered in England &amp; Wales No. 09876543</w:t>
      </w:r>
    </w:p>
    <w:p>
      <w:pPr>
        <w:pStyle w:val="BodyText"/>
      </w:pPr>
      <w:r>
        <w:t xml:space="preserve">This Quotation Estimate is confidential and intended solely for the named recipient. Unauthorised reproduction or distribution is prohibited.</w:t>
      </w:r>
    </w:p>
    <w:p>
      <w:pPr>
        <w:pStyle w:val="BodyText"/>
      </w:pPr>
      <w:r>
        <w:t xml:space="preserve">Document Reference: QTE-2025-04871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Kingdom London</dc:title>
  <dc:creator/>
  <dc:language>en</dc:language>
  <cp:keywords/>
  <dcterms:created xsi:type="dcterms:W3CDTF">2026-10-10T03:45:00Z</dcterms:created>
  <dcterms:modified xsi:type="dcterms:W3CDTF">2026-10-10T03:45:00Z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