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golden-fork-culinary-services-llc"/>
    <w:p>
      <w:pPr>
        <w:pStyle w:val="Heading1"/>
      </w:pPr>
      <w:r>
        <w:t xml:space="preserve">Golden Fork Culinary Services, LLC</w:t>
      </w:r>
    </w:p>
    <w:p>
      <w:pPr>
        <w:pStyle w:val="FirstParagraph"/>
      </w:pPr>
      <w:r>
        <w:t xml:space="preserve">Professional Chef &amp; Culinary Solutions | 4200 Sunset Boulevard, Suite 710, Los Angeles, CA 90027, United States</w:t>
      </w:r>
    </w:p>
    <w:p>
      <w:pPr>
        <w:pStyle w:val="BodyText"/>
      </w:pPr>
      <w:r>
        <w:t xml:space="preserve">Phone: (213) 555-0187 | Email: estimates@goldenforkculinary.com | CA Business License #14-284756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Delgado, Senior Estimator</w:t>
      </w:r>
    </w:p>
    <w:p>
      <w:pPr>
        <w:pStyle w:val="BodyText"/>
      </w:pPr>
      <w:r>
        <w:rPr>
          <w:bCs/>
          <w:b/>
        </w:rPr>
        <w:t xml:space="preserve">Service Location:</w:t>
      </w:r>
      <w:r>
        <w:t xml:space="preserve"> </w:t>
      </w:r>
      <w:r>
        <w:t xml:space="preserve">United States, Los Angeles, California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Company/Organization:</w:t>
      </w:r>
      <w:r>
        <w:t xml:space="preserve"> </w:t>
      </w:r>
      <w:r>
        <w:t xml:space="preserve">[Client Company Name]</w:t>
      </w:r>
    </w:p>
    <w:p>
      <w:pPr>
        <w:pStyle w:val="BodyText"/>
      </w:pPr>
      <w:r>
        <w:rPr>
          <w:bCs/>
          <w:b/>
        </w:rPr>
        <w:t xml:space="preserve">Address:</w:t>
      </w:r>
      <w:r>
        <w:t xml:space="preserve"> </w:t>
      </w:r>
      <w:r>
        <w:t xml:space="preserve">[Street Address], Los Angeles, CA [ZIP], United States</w:t>
      </w:r>
    </w:p>
    <w:p>
      <w:pPr>
        <w:pStyle w:val="BodyText"/>
      </w:pPr>
      <w:r>
        <w:rPr>
          <w:bCs/>
          <w:b/>
        </w:rPr>
        <w:t xml:space="preserve">Contact Phone:</w:t>
      </w:r>
      <w:r>
        <w:t xml:space="preserve"> </w:t>
      </w:r>
      <w:r>
        <w:t xml:space="preserve">[Phone Number]</w:t>
      </w:r>
    </w:p>
    <w:p>
      <w:pPr>
        <w:pStyle w:val="BodyText"/>
      </w:pPr>
      <w:r>
        <w:rPr>
          <w:bCs/>
          <w:b/>
        </w:rPr>
        <w:t xml:space="preserve">Contact Email:</w:t>
      </w:r>
      <w:r>
        <w:t xml:space="preserve"> </w:t>
      </w:r>
      <w:r>
        <w:t xml:space="preserve">[Email Address]</w:t>
      </w:r>
    </w:p>
    <w:bookmarkEnd w:id="22"/>
    <w:p>
      <w:pPr>
        <w:pStyle w:val="BodyText"/>
      </w:pPr>
      <w:r>
        <w:t xml:space="preserve">Dear Valued Client,</w:t>
      </w:r>
    </w:p>
    <w:p>
      <w:pPr>
        <w:pStyle w:val="BodyText"/>
      </w:pPr>
      <w:r>
        <w:t xml:space="preserve">Thank you for your interest in the professional</w:t>
      </w:r>
      <w:r>
        <w:t xml:space="preserve"> </w:t>
      </w:r>
      <w:r>
        <w:t xml:space="preserve">Chef</w:t>
      </w:r>
      <w:r>
        <w:t xml:space="preserve"> </w:t>
      </w:r>
      <w:r>
        <w:t xml:space="preserve">services offered by Golden Fork Culinary Services, LLC. This</w:t>
      </w:r>
      <w:r>
        <w:t xml:space="preserve"> </w:t>
      </w:r>
      <w:r>
        <w:t xml:space="preserve">Quotation Estimate</w:t>
      </w:r>
      <w:r>
        <w:t xml:space="preserve"> </w:t>
      </w:r>
      <w:r>
        <w:t xml:space="preserve">has been carefully prepared to provide you with a comprehensive and transparent breakdown of all costs associated with our</w:t>
      </w:r>
      <w:r>
        <w:t xml:space="preserve"> </w:t>
      </w:r>
      <w:r>
        <w:t xml:space="preserve">Chef</w:t>
      </w:r>
      <w:r>
        <w:t xml:space="preserve"> </w:t>
      </w:r>
      <w:r>
        <w:t xml:space="preserve">engagement for your event or ongoing culinary needs in the</w:t>
      </w:r>
      <w:r>
        <w:t xml:space="preserve"> </w:t>
      </w:r>
      <w:r>
        <w:t xml:space="preserve">United States Los Angeles</w:t>
      </w:r>
      <w:r>
        <w:t xml:space="preserve"> </w:t>
      </w:r>
      <w:r>
        <w:t xml:space="preserve">metropolitan area. We are committed to delivering exceptional culinary experiences that reflect the vibrant food culture of Southern California while maintaining the highest standards of professionalism, safety, and gastronomic excellence.</w:t>
      </w:r>
    </w:p>
    <w:bookmarkStart w:id="23" w:name="scope-of-services-chef-engagement"/>
    <w:p>
      <w:pPr>
        <w:pStyle w:val="Heading2"/>
      </w:pPr>
      <w:r>
        <w:t xml:space="preserve">Scope of Services – Chef Engagement</w:t>
      </w:r>
    </w:p>
    <w:p>
      <w:pPr>
        <w:pStyle w:val="FirstParagraph"/>
      </w:pPr>
      <w:r>
        <w:t xml:space="preserve">This</w:t>
      </w:r>
      <w:r>
        <w:t xml:space="preserve"> </w:t>
      </w:r>
      <w:r>
        <w:t xml:space="preserve">Quotation Estimate</w:t>
      </w:r>
      <w:r>
        <w:t xml:space="preserve"> </w:t>
      </w:r>
      <w:r>
        <w:t xml:space="preserve">covers the full scope of</w:t>
      </w:r>
      <w:r>
        <w:t xml:space="preserve"> </w:t>
      </w:r>
      <w:r>
        <w:t xml:space="preserve">Chef</w:t>
      </w:r>
      <w:r>
        <w:t xml:space="preserve"> </w:t>
      </w:r>
      <w:r>
        <w:t xml:space="preserve">services to be rendered in the</w:t>
      </w:r>
      <w:r>
        <w:t xml:space="preserve"> </w:t>
      </w:r>
      <w:r>
        <w:t xml:space="preserve">United States Los Angeles</w:t>
      </w:r>
      <w:r>
        <w:t xml:space="preserve"> </w:t>
      </w:r>
      <w:r>
        <w:t xml:space="preserve">area. The</w:t>
      </w:r>
      <w:r>
        <w:t xml:space="preserve"> </w:t>
      </w:r>
      <w:r>
        <w:t xml:space="preserve">Chef</w:t>
      </w:r>
      <w:r>
        <w:t xml:space="preserve"> </w:t>
      </w:r>
      <w:r>
        <w:t xml:space="preserve">will be responsible for menu planning, ingredient sourcing, food preparation, on-site cooking, plating, and post-service cleanup. All services will comply with the Los Angeles County Department of Public Health food safety regulations and the California Department of Food and Agriculture guidelines. The</w:t>
      </w:r>
      <w:r>
        <w:t xml:space="preserve"> </w:t>
      </w:r>
      <w:r>
        <w:t xml:space="preserve">Chef</w:t>
      </w:r>
      <w:r>
        <w:t xml:space="preserve"> </w:t>
      </w:r>
      <w:r>
        <w:t xml:space="preserve">will operate in accordance with all applicable federal, state, and local food handling codes within the</w:t>
      </w:r>
      <w:r>
        <w:t xml:space="preserve"> </w:t>
      </w:r>
      <w:r>
        <w:t xml:space="preserve">United States Los Angeles</w:t>
      </w:r>
      <w:r>
        <w:t xml:space="preserve"> </w:t>
      </w:r>
      <w:r>
        <w:t xml:space="preserve">jurisdiction.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 On-Site Culinary Service (per 8-hour day)</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Includes menu consultation</w:t>
            </w:r>
          </w:p>
        </w:tc>
      </w:tr>
      <w:tr>
        <w:tc>
          <w:tcPr/>
          <w:p>
            <w:pPr>
              <w:pStyle w:val="Compact"/>
              <w:jc w:val="left"/>
            </w:pPr>
            <w:r>
              <w:t xml:space="preserve">2</w:t>
            </w:r>
          </w:p>
        </w:tc>
        <w:tc>
          <w:tcPr/>
          <w:p>
            <w:pPr>
              <w:pStyle w:val="Compact"/>
              <w:jc w:val="left"/>
            </w:pPr>
            <w:r>
              <w:t xml:space="preserve">Assistant Chef / Sous Chef Support (per 8-hour day)</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Prep, plating, and service</w:t>
            </w:r>
          </w:p>
        </w:tc>
      </w:tr>
      <w:tr>
        <w:tc>
          <w:tcPr/>
          <w:p>
            <w:pPr>
              <w:pStyle w:val="Compact"/>
              <w:jc w:val="left"/>
            </w:pPr>
            <w:r>
              <w:t xml:space="preserve">3</w:t>
            </w:r>
          </w:p>
        </w:tc>
        <w:tc>
          <w:tcPr/>
          <w:p>
            <w:pPr>
              <w:pStyle w:val="Compact"/>
              <w:jc w:val="left"/>
            </w:pPr>
            <w:r>
              <w:t xml:space="preserve">Menu Design &amp; Tasting Session (Los Angeles, CA)</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Up to 5 course options</w:t>
            </w:r>
          </w:p>
        </w:tc>
      </w:tr>
      <w:tr>
        <w:tc>
          <w:tcPr/>
          <w:p>
            <w:pPr>
              <w:pStyle w:val="Compact"/>
              <w:jc w:val="left"/>
            </w:pPr>
            <w:r>
              <w:t xml:space="preserve">4</w:t>
            </w:r>
          </w:p>
        </w:tc>
        <w:tc>
          <w:tcPr/>
          <w:p>
            <w:pPr>
              <w:pStyle w:val="Compact"/>
              <w:jc w:val="left"/>
            </w:pPr>
            <w:r>
              <w:t xml:space="preserve">Premium Ingredient Procurement (per guest, per course)</w:t>
            </w:r>
          </w:p>
        </w:tc>
        <w:tc>
          <w:tcPr/>
          <w:p>
            <w:pPr>
              <w:pStyle w:val="Compact"/>
              <w:jc w:val="left"/>
            </w:pPr>
            <w:r>
              <w:t xml:space="preserve">120 guests × 4 courses</w:t>
            </w:r>
          </w:p>
        </w:tc>
        <w:tc>
          <w:tcPr/>
          <w:p>
            <w:pPr>
              <w:pStyle w:val="Compact"/>
              <w:jc w:val="left"/>
            </w:pPr>
            <w:r>
              <w:t xml:space="preserve">$28.00</w:t>
            </w:r>
          </w:p>
        </w:tc>
        <w:tc>
          <w:tcPr/>
          <w:p>
            <w:pPr>
              <w:pStyle w:val="Compact"/>
              <w:jc w:val="left"/>
            </w:pPr>
            <w:r>
              <w:t xml:space="preserve">$13,440.00</w:t>
            </w:r>
          </w:p>
        </w:tc>
        <w:tc>
          <w:tcPr/>
          <w:p>
            <w:pPr>
              <w:pStyle w:val="Compact"/>
              <w:jc w:val="left"/>
            </w:pPr>
            <w:r>
              <w:t xml:space="preserve">Local LA farm-to-table sourcing</w:t>
            </w:r>
          </w:p>
        </w:tc>
      </w:tr>
      <w:tr>
        <w:tc>
          <w:tcPr/>
          <w:p>
            <w:pPr>
              <w:pStyle w:val="Compact"/>
              <w:jc w:val="left"/>
            </w:pPr>
            <w:r>
              <w:t xml:space="preserve">5</w:t>
            </w:r>
          </w:p>
        </w:tc>
        <w:tc>
          <w:tcPr/>
          <w:p>
            <w:pPr>
              <w:pStyle w:val="Compact"/>
              <w:jc w:val="left"/>
            </w:pPr>
            <w:r>
              <w:t xml:space="preserve">Specialty Equipment &amp; Rental (mobile kitchen unit)</w:t>
            </w:r>
          </w:p>
        </w:tc>
        <w:tc>
          <w:tcPr/>
          <w:p>
            <w:pPr>
              <w:pStyle w:val="Compact"/>
              <w:jc w:val="left"/>
            </w:pPr>
            <w:r>
              <w:t xml:space="preserve">3 days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Includes transport within LA</w:t>
            </w:r>
          </w:p>
        </w:tc>
      </w:tr>
      <w:tr>
        <w:tc>
          <w:tcPr/>
          <w:p>
            <w:pPr>
              <w:pStyle w:val="Compact"/>
              <w:jc w:val="left"/>
            </w:pPr>
            <w:r>
              <w:t xml:space="preserve">6</w:t>
            </w:r>
          </w:p>
        </w:tc>
        <w:tc>
          <w:tcPr/>
          <w:p>
            <w:pPr>
              <w:pStyle w:val="Compact"/>
              <w:jc w:val="left"/>
            </w:pPr>
            <w:r>
              <w:t xml:space="preserve">Linen, Tableware &amp; Service Ware Rental</w:t>
            </w:r>
          </w:p>
        </w:tc>
        <w:tc>
          <w:tcPr/>
          <w:p>
            <w:pPr>
              <w:pStyle w:val="Compact"/>
              <w:jc w:val="left"/>
            </w:pPr>
            <w:r>
              <w:t xml:space="preserve">1 event</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120 place settings</w:t>
            </w:r>
          </w:p>
        </w:tc>
      </w:tr>
      <w:tr>
        <w:tc>
          <w:tcPr/>
          <w:p>
            <w:pPr>
              <w:pStyle w:val="Compact"/>
              <w:jc w:val="left"/>
            </w:pPr>
            <w:r>
              <w:t xml:space="preserve">7</w:t>
            </w:r>
          </w:p>
        </w:tc>
        <w:tc>
          <w:tcPr/>
          <w:p>
            <w:pPr>
              <w:pStyle w:val="Compact"/>
              <w:jc w:val="left"/>
            </w:pPr>
            <w:r>
              <w:t xml:space="preserve">Staffing – Servers &amp; Bartenders (per 8-hour day)</w:t>
            </w:r>
          </w:p>
        </w:tc>
        <w:tc>
          <w:tcPr/>
          <w:p>
            <w:pPr>
              <w:pStyle w:val="Compact"/>
              <w:jc w:val="left"/>
            </w:pPr>
            <w:r>
              <w:t xml:space="preserve">6 staff × 3 days</w:t>
            </w:r>
          </w:p>
        </w:tc>
        <w:tc>
          <w:tcPr/>
          <w:p>
            <w:pPr>
              <w:pStyle w:val="Compact"/>
              <w:jc w:val="left"/>
            </w:pPr>
            <w:r>
              <w:t xml:space="preserve">$45.00/hr</w:t>
            </w:r>
          </w:p>
        </w:tc>
        <w:tc>
          <w:tcPr/>
          <w:p>
            <w:pPr>
              <w:pStyle w:val="Compact"/>
              <w:jc w:val="left"/>
            </w:pPr>
            <w:r>
              <w:t xml:space="preserve">$7,560.00</w:t>
            </w:r>
          </w:p>
        </w:tc>
        <w:tc>
          <w:tcPr/>
          <w:p>
            <w:pPr>
              <w:pStyle w:val="Compact"/>
              <w:jc w:val="left"/>
            </w:pPr>
            <w:r>
              <w:t xml:space="preserve">Includes gratuity pool</w:t>
            </w:r>
          </w:p>
        </w:tc>
      </w:tr>
      <w:tr>
        <w:tc>
          <w:tcPr/>
          <w:p>
            <w:pPr>
              <w:pStyle w:val="Compact"/>
              <w:jc w:val="left"/>
            </w:pPr>
            <w:r>
              <w:t xml:space="preserve">8</w:t>
            </w:r>
          </w:p>
        </w:tc>
        <w:tc>
          <w:tcPr/>
          <w:p>
            <w:pPr>
              <w:pStyle w:val="Compact"/>
              <w:jc w:val="left"/>
            </w:pPr>
            <w:r>
              <w:t xml:space="preserve">Travel &amp; Logistics within United States Los Angeles Metro</w:t>
            </w:r>
          </w:p>
        </w:tc>
        <w:tc>
          <w:tcPr/>
          <w:p>
            <w:pPr>
              <w:pStyle w:val="Compact"/>
              <w:jc w:val="left"/>
            </w:pPr>
            <w:r>
              <w:t xml:space="preserve">Flat rate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Within 25-mile radius</w:t>
            </w:r>
          </w:p>
        </w:tc>
      </w:tr>
      <w:tr>
        <w:tc>
          <w:tcPr/>
          <w:p>
            <w:pPr>
              <w:pStyle w:val="Compact"/>
              <w:jc w:val="left"/>
            </w:pPr>
            <w:r>
              <w:t xml:space="preserve">9</w:t>
            </w:r>
          </w:p>
        </w:tc>
        <w:tc>
          <w:tcPr/>
          <w:p>
            <w:pPr>
              <w:pStyle w:val="Compact"/>
              <w:jc w:val="left"/>
            </w:pPr>
            <w:r>
              <w:t xml:space="preserve">Insurance &amp; Liability Coverage (event-specific)</w:t>
            </w:r>
          </w:p>
        </w:tc>
        <w:tc>
          <w:tcPr/>
          <w:p>
            <w:pPr>
              <w:pStyle w:val="Compact"/>
              <w:jc w:val="left"/>
            </w:pPr>
            <w:r>
              <w:t xml:space="preserve">1 event</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$2M general liability</w:t>
            </w:r>
          </w:p>
        </w:tc>
      </w:tr>
      <w:tr>
        <w:tc>
          <w:tcPr/>
          <w:p>
            <w:pPr>
              <w:pStyle w:val="Compact"/>
              <w:jc w:val="left"/>
            </w:pPr>
            <w:r>
              <w:t xml:space="preserve">10</w:t>
            </w:r>
          </w:p>
        </w:tc>
        <w:tc>
          <w:tcPr/>
          <w:p>
            <w:pPr>
              <w:pStyle w:val="Compact"/>
              <w:jc w:val="left"/>
            </w:pPr>
            <w:r>
              <w:t xml:space="preserve">Post-Event Cleanup &amp; Waste Disposal</w:t>
            </w:r>
          </w:p>
        </w:tc>
        <w:tc>
          <w:tcPr/>
          <w:p>
            <w:pPr>
              <w:pStyle w:val="Compact"/>
              <w:jc w:val="left"/>
            </w:pPr>
            <w:r>
              <w:t xml:space="preserve">1 event</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Compliant with LA city codes</w:t>
            </w:r>
          </w:p>
        </w:tc>
      </w:tr>
      <w:tr>
        <w:tc>
          <w:tcPr>
            <w:gridSpan w:val="4"/>
          </w:tcPr>
          <w:p>
            <w:pPr>
              <w:pStyle w:val="Compact"/>
              <w:jc w:val="left"/>
            </w:pPr>
            <w:r>
              <w:t xml:space="preserve">SUBTOTAL (USD)</w:t>
            </w:r>
          </w:p>
        </w:tc>
        <w:tc>
          <w:tcPr/>
          <w:p>
            <w:pPr>
              <w:pStyle w:val="Compact"/>
              <w:jc w:val="left"/>
            </w:pPr>
            <w:r>
              <w:t xml:space="preserve">$31,850.00</w:t>
            </w:r>
          </w:p>
        </w:tc>
        <w:tc>
          <w:tcPr/>
          <w:p>
            <w:pPr>
              <w:pStyle w:val="Compact"/>
            </w:pPr>
          </w:p>
        </w:tc>
      </w:tr>
      <w:tr>
        <w:tc>
          <w:tcPr>
            <w:gridSpan w:val="4"/>
          </w:tcPr>
          <w:p>
            <w:pPr>
              <w:pStyle w:val="Compact"/>
              <w:jc w:val="left"/>
            </w:pPr>
            <w:r>
              <w:t xml:space="preserve">Applicable Sales &amp; Use Tax – Los Angeles County, CA (9.5%)</w:t>
            </w:r>
          </w:p>
        </w:tc>
        <w:tc>
          <w:tcPr/>
          <w:p>
            <w:pPr>
              <w:pStyle w:val="Compact"/>
              <w:jc w:val="left"/>
            </w:pPr>
            <w:r>
              <w:t xml:space="preserve">$3,025.75</w:t>
            </w:r>
          </w:p>
        </w:tc>
        <w:tc>
          <w:tcPr/>
          <w:p>
            <w:pPr>
              <w:pStyle w:val="Compact"/>
            </w:pPr>
          </w:p>
        </w:tc>
      </w:tr>
      <w:tr>
        <w:tc>
          <w:tcPr>
            <w:gridSpan w:val="4"/>
          </w:tcPr>
          <w:p>
            <w:pPr>
              <w:pStyle w:val="Compact"/>
              <w:jc w:val="left"/>
            </w:pPr>
            <w:r>
              <w:t xml:space="preserve">TOTAL ESTIMATED COST (USD)</w:t>
            </w:r>
          </w:p>
        </w:tc>
        <w:tc>
          <w:tcPr/>
          <w:p>
            <w:pPr>
              <w:pStyle w:val="Compact"/>
              <w:jc w:val="left"/>
            </w:pPr>
            <w:r>
              <w:t xml:space="preserve">$34,875.75</w:t>
            </w:r>
          </w:p>
        </w:tc>
        <w:tc>
          <w:tcPr/>
          <w:p>
            <w:pPr>
              <w:pStyle w:val="Compact"/>
            </w:pP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Chef</w:t>
      </w:r>
      <w:r>
        <w:t xml:space="preserve"> </w:t>
      </w:r>
      <w:r>
        <w:t xml:space="preserve">engagement and all associated services may be subject to revision based on market conditions in the</w:t>
      </w:r>
      <w:r>
        <w:t xml:space="preserve"> </w:t>
      </w:r>
      <w:r>
        <w:t xml:space="preserve">United States Los Angeles</w:t>
      </w:r>
      <w:r>
        <w:t xml:space="preserve"> </w:t>
      </w:r>
      <w:r>
        <w:t xml:space="preserve">area.</w:t>
      </w:r>
    </w:p>
    <w:p>
      <w:pPr>
        <w:numPr>
          <w:ilvl w:val="0"/>
          <w:numId w:val="1001"/>
        </w:numPr>
        <w:pStyle w:val="Compact"/>
      </w:pPr>
      <w:r>
        <w:rPr>
          <w:bCs/>
          <w:b/>
        </w:rPr>
        <w:t xml:space="preserve">Payment Schedule:</w:t>
      </w:r>
      <w:r>
        <w:t xml:space="preserve"> </w:t>
      </w:r>
      <w:r>
        <w:t xml:space="preserve">A non-refundable deposit of 40% of the total estimated cost is due upon acceptance of this</w:t>
      </w:r>
      <w:r>
        <w:t xml:space="preserve"> </w:t>
      </w:r>
      <w:r>
        <w:t xml:space="preserve">Quotation Estimate</w:t>
      </w:r>
      <w:r>
        <w:t xml:space="preserve">. The remaining 60% is due within seven (7) business days following the completion of the</w:t>
      </w:r>
      <w:r>
        <w:t xml:space="preserve"> </w:t>
      </w:r>
      <w:r>
        <w:t xml:space="preserve">Chef</w:t>
      </w:r>
      <w:r>
        <w:t xml:space="preserve"> </w:t>
      </w:r>
      <w:r>
        <w:t xml:space="preserve">service. All payments are to be made in U.S. Dollars (USD) via wire transfer, ACH, or certified check.</w:t>
      </w:r>
    </w:p>
    <w:p>
      <w:pPr>
        <w:numPr>
          <w:ilvl w:val="0"/>
          <w:numId w:val="1001"/>
        </w:numPr>
        <w:pStyle w:val="Compact"/>
      </w:pPr>
      <w:r>
        <w:rPr>
          <w:bCs/>
          <w:b/>
        </w:rPr>
        <w:t xml:space="preserve">Scope Changes:</w:t>
      </w:r>
      <w:r>
        <w:t xml:space="preserve"> </w:t>
      </w:r>
      <w:r>
        <w:t xml:space="preserve">Any modifications to the menu, guest count, service duration, or event location within the</w:t>
      </w:r>
      <w:r>
        <w:t xml:space="preserve"> </w:t>
      </w:r>
      <w:r>
        <w:t xml:space="preserve">United States Los Angeles</w:t>
      </w:r>
      <w:r>
        <w:t xml:space="preserve"> </w:t>
      </w:r>
      <w:r>
        <w:t xml:space="preserve">metropolitan area must be communicated in writing at least 72 hours prior to the event. Additional charges may apply and will be itemized in a supplementary</w:t>
      </w:r>
      <w:r>
        <w:t xml:space="preserve"> </w:t>
      </w:r>
      <w:r>
        <w:t xml:space="preserve">Quotation Estimate</w:t>
      </w:r>
      <w:r>
        <w:t xml:space="preserve">.</w:t>
      </w:r>
    </w:p>
    <w:p>
      <w:pPr>
        <w:numPr>
          <w:ilvl w:val="0"/>
          <w:numId w:val="1001"/>
        </w:numPr>
        <w:pStyle w:val="Compact"/>
      </w:pPr>
      <w:r>
        <w:rPr>
          <w:bCs/>
          <w:b/>
        </w:rPr>
        <w:t xml:space="preserve">Cancellation Policy:</w:t>
      </w:r>
      <w:r>
        <w:t xml:space="preserve"> </w:t>
      </w:r>
      <w:r>
        <w:t xml:space="preserve">Cancellations made more than 14 days before the event will incur a 25% fee of the total estimate. Cancellations between 7 and 14 days will incur a 50% fee. Cancellations within 7 days or no-shows will result in a 100% charge of the total</w:t>
      </w:r>
      <w:r>
        <w:t xml:space="preserve"> </w:t>
      </w:r>
      <w:r>
        <w:t xml:space="preserve">Quotation Estimate</w:t>
      </w:r>
      <w:r>
        <w:t xml:space="preserve"> </w:t>
      </w:r>
      <w:r>
        <w:t xml:space="preserve">amount.</w:t>
      </w:r>
    </w:p>
    <w:p>
      <w:pPr>
        <w:numPr>
          <w:ilvl w:val="0"/>
          <w:numId w:val="1001"/>
        </w:numPr>
        <w:pStyle w:val="Compact"/>
      </w:pPr>
      <w:r>
        <w:rPr>
          <w:bCs/>
          <w:b/>
        </w:rPr>
        <w:t xml:space="preserve">Food Safety &amp; Compliance:</w:t>
      </w:r>
      <w:r>
        <w:t xml:space="preserve"> </w:t>
      </w:r>
      <w:r>
        <w:t xml:space="preserve">The</w:t>
      </w:r>
      <w:r>
        <w:t xml:space="preserve"> </w:t>
      </w:r>
      <w:r>
        <w:t xml:space="preserve">Chef</w:t>
      </w:r>
      <w:r>
        <w:t xml:space="preserve"> </w:t>
      </w:r>
      <w:r>
        <w:t xml:space="preserve">and all supporting staff hold current California Food Handler Permits and ServSafe certifications. All operations will adhere to the Los Angeles County Department of Public Health regulations governing temporary food facilities and mobile catering units.</w:t>
      </w:r>
    </w:p>
    <w:p>
      <w:pPr>
        <w:numPr>
          <w:ilvl w:val="0"/>
          <w:numId w:val="1001"/>
        </w:numPr>
        <w:pStyle w:val="Compact"/>
      </w:pPr>
      <w:r>
        <w:rPr>
          <w:bCs/>
          <w:b/>
        </w:rPr>
        <w:t xml:space="preserve">Insurance:</w:t>
      </w:r>
      <w:r>
        <w:t xml:space="preserve"> </w:t>
      </w:r>
      <w:r>
        <w:t xml:space="preserve">Golden Fork Culinary Services, LLC maintains a minimum of $2,000,000 in general liability insurance and $1,000,000 in workers' compensation coverage. Certificates of insurance naming the client as an additional insured may be provided upon request.</w:t>
      </w:r>
    </w:p>
    <w:p>
      <w:pPr>
        <w:numPr>
          <w:ilvl w:val="0"/>
          <w:numId w:val="1001"/>
        </w:numPr>
        <w:pStyle w:val="Compact"/>
      </w:pPr>
      <w:r>
        <w:rPr>
          <w:bCs/>
          <w:b/>
        </w:rPr>
        <w:t xml:space="preserve">Intellectual Property:</w:t>
      </w:r>
      <w:r>
        <w:t xml:space="preserve"> </w:t>
      </w:r>
      <w:r>
        <w:t xml:space="preserve">All proprietary recipes, menu designs, and culinary techniques developed by the</w:t>
      </w:r>
      <w:r>
        <w:t xml:space="preserve"> </w:t>
      </w:r>
      <w:r>
        <w:t xml:space="preserve">Chef</w:t>
      </w:r>
      <w:r>
        <w:t xml:space="preserve"> </w:t>
      </w:r>
      <w:r>
        <w:t xml:space="preserve">remain the intellectual property of Golden Fork Culinary Services, LLC. The client receives a one-time license to reproduce the final menu for personal use.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agreement shall be governed by and construed in accordance with the laws of the State of California, United States, with venue in the Superior Court of Los Angeles County.</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(including but not limited to earthquakes common to the</w:t>
      </w:r>
      <w:r>
        <w:t xml:space="preserve"> </w:t>
      </w:r>
      <w:r>
        <w:t xml:space="preserve">United States Los Angeles</w:t>
      </w:r>
      <w:r>
        <w:t xml:space="preserve"> </w:t>
      </w:r>
      <w:r>
        <w:t xml:space="preserve">region), government orders, pandemics, or other events beyond reasonable control.</w:t>
      </w:r>
    </w:p>
    <w:bookmarkEnd w:id="25"/>
    <w:bookmarkStart w:id="26" w:name="acceptance-authorization"/>
    <w:p>
      <w:pPr>
        <w:pStyle w:val="Heading2"/>
      </w:pPr>
      <w:r>
        <w:t xml:space="preserve">Acceptance &amp; Authorization</w:t>
      </w:r>
    </w:p>
    <w:p>
      <w:pPr>
        <w:pStyle w:val="FirstParagraph"/>
      </w:pPr>
      <w:r>
        <w:t xml:space="preserve">By signing below, the client acknowledges that this</w:t>
      </w:r>
      <w:r>
        <w:t xml:space="preserve"> </w:t>
      </w:r>
      <w:r>
        <w:t xml:space="preserve">Quotation Estimate</w:t>
      </w:r>
      <w:r>
        <w:t xml:space="preserve"> </w:t>
      </w:r>
      <w:r>
        <w:t xml:space="preserve">accurately reflects the scope, pricing, and terms of the</w:t>
      </w:r>
      <w:r>
        <w:t xml:space="preserve"> </w:t>
      </w:r>
      <w:r>
        <w:t xml:space="preserve">Chef</w:t>
      </w:r>
      <w:r>
        <w:t xml:space="preserve"> </w:t>
      </w:r>
      <w:r>
        <w:t xml:space="preserve">services to be provided in the</w:t>
      </w:r>
      <w:r>
        <w:t xml:space="preserve"> </w:t>
      </w:r>
      <w:r>
        <w:t xml:space="preserve">United States Los Angeles</w:t>
      </w:r>
      <w:r>
        <w:t xml:space="preserve"> </w:t>
      </w:r>
      <w:r>
        <w:t xml:space="preserve">area. This signature constitutes a binding agreement to proceed with the engagement as described herein.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Golden Fork Culinary Services, LLC</w:t>
      </w:r>
      <w:r>
        <w:br/>
      </w:r>
      <w:r>
        <w:t xml:space="preserve">Name: Marcus Delgado, Senior Estimator</w:t>
      </w:r>
      <w:r>
        <w:br/>
      </w:r>
      <w:r>
        <w:t xml:space="preserve">Date: _________________________</w:t>
      </w:r>
    </w:p>
    <w:p>
      <w:pPr>
        <w:pStyle w:val="BodyText"/>
      </w:pPr>
      <w:r>
        <w:t xml:space="preserve">Golden Fork Culinary Services, LLC | 4200 Sunset Boulevard, Suite 710, Los Angeles, CA 90027, United States</w:t>
      </w:r>
    </w:p>
    <w:p>
      <w:pPr>
        <w:pStyle w:val="BodyText"/>
      </w:pPr>
      <w:r>
        <w:t xml:space="preserve">Quotation Estimate No. QTE-2025-LA-04872 | This document is an estimate only and does not constitute a final invoice until services are rendered and a formal invoice is issued.</w:t>
      </w:r>
    </w:p>
    <w:p>
      <w:pPr>
        <w:pStyle w:val="BodyText"/>
      </w:pPr>
      <w:r>
        <w:t xml:space="preserve">© 2025 Golden Fork Culinary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States Los Angeles</dc:title>
  <dc:creator/>
  <dc:language>en</dc:language>
  <cp:keywords/>
  <dcterms:created xsi:type="dcterms:W3CDTF">2026-10-10T07:05:32Z</dcterms:created>
  <dcterms:modified xsi:type="dcterms:W3CDTF">2026-10-10T07:05:32Z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