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Chemical Engineer Services</w:t>
      </w:r>
    </w:p>
    <w:p>
      <w:pPr>
        <w:pStyle w:val="BodyText"/>
      </w:pPr>
      <w:r>
        <w:t xml:space="preserve">Argentina Córdoba — Industrial &amp; Process Engineering Division</w:t>
      </w:r>
    </w:p>
    <w:p>
      <w:pPr>
        <w:pStyle w:val="BodyText"/>
      </w:pPr>
      <w:r>
        <w:t xml:space="preserve">Document No. QE-AC-2025-0472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Reference:</w:t>
      </w:r>
      <w:r>
        <w:t xml:space="preserve"> </w:t>
      </w:r>
      <w:r>
        <w:t xml:space="preserve">QE-AC-2025-0472</w:t>
      </w:r>
    </w:p>
    <w:p>
      <w:pPr>
        <w:pStyle w:val="BodyText"/>
      </w:pPr>
      <w:r>
        <w:rPr>
          <w:bCs/>
          <w:b/>
        </w:rPr>
        <w:t xml:space="preserve">Prepared By:</w:t>
      </w:r>
      <w:r>
        <w:t xml:space="preserve"> </w:t>
      </w:r>
      <w:r>
        <w:t xml:space="preserve">Ing. María Elena Sosa</w:t>
      </w:r>
      <w:r>
        <w:br/>
      </w:r>
      <w:r>
        <w:rPr>
          <w:bCs/>
          <w:b/>
        </w:rPr>
        <w:t xml:space="preserve">Role:</w:t>
      </w:r>
      <w:r>
        <w:t xml:space="preserve"> </w:t>
      </w:r>
      <w:r>
        <w:t xml:space="preserve">Senior Chemical Engineer</w:t>
      </w:r>
      <w:r>
        <w:br/>
      </w:r>
      <w:r>
        <w:rPr>
          <w:bCs/>
          <w:b/>
        </w:rPr>
        <w:t xml:space="preserve">License No.:</w:t>
      </w:r>
      <w:r>
        <w:t xml:space="preserve"> </w:t>
      </w:r>
      <w:r>
        <w:t xml:space="preserve">CPA-CD-44821 (Córdoba, Argentina)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AgroIndustrias del Centro S.A.</w:t>
            </w:r>
          </w:p>
        </w:tc>
        <w:tc>
          <w:tcPr/>
          <w:p>
            <w:pPr>
              <w:pStyle w:val="Compact"/>
              <w:jc w:val="left"/>
            </w:pPr>
            <w:r>
              <w:rPr>
                <w:bCs/>
                <w:b/>
              </w:rPr>
              <w:t xml:space="preserve">Tax ID (CUIT):</w:t>
            </w:r>
            <w:r>
              <w:t xml:space="preserve"> </w:t>
            </w:r>
            <w:r>
              <w:t xml:space="preserve">30-71234567-8</w:t>
            </w:r>
          </w:p>
        </w:tc>
      </w:tr>
      <w:tr>
        <w:tc>
          <w:tcPr/>
          <w:p>
            <w:pPr>
              <w:pStyle w:val="Compact"/>
              <w:jc w:val="left"/>
            </w:pPr>
            <w:r>
              <w:rPr>
                <w:bCs/>
                <w:b/>
              </w:rPr>
              <w:t xml:space="preserve">Address:</w:t>
            </w:r>
            <w:r>
              <w:t xml:space="preserve"> </w:t>
            </w:r>
            <w:r>
              <w:t xml:space="preserve">Ruta Nacional 9 Km 720, Villa María, Córdoba, Argentina</w:t>
            </w:r>
          </w:p>
        </w:tc>
        <w:tc>
          <w:tcPr/>
          <w:p>
            <w:pPr>
              <w:pStyle w:val="Compact"/>
              <w:jc w:val="left"/>
            </w:pPr>
            <w:r>
              <w:rPr>
                <w:bCs/>
                <w:b/>
              </w:rPr>
              <w:t xml:space="preserve">Contact:</w:t>
            </w:r>
            <w:r>
              <w:t xml:space="preserve"> </w:t>
            </w:r>
            <w:r>
              <w:t xml:space="preserve">Lic. Roberto Fernández, Procurement Manager</w:t>
            </w:r>
          </w:p>
        </w:tc>
      </w:tr>
      <w:tr>
        <w:tc>
          <w:tcPr/>
          <w:p>
            <w:pPr>
              <w:pStyle w:val="Compact"/>
              <w:jc w:val="left"/>
            </w:pPr>
            <w:r>
              <w:rPr>
                <w:bCs/>
                <w:b/>
              </w:rPr>
              <w:t xml:space="preserve">Email:</w:t>
            </w:r>
            <w:r>
              <w:t xml:space="preserve"> </w:t>
            </w:r>
            <w:r>
              <w:t xml:space="preserve">compras@agroindustriascentro.com.ar</w:t>
            </w:r>
          </w:p>
        </w:tc>
        <w:tc>
          <w:tcPr/>
          <w:p>
            <w:pPr>
              <w:pStyle w:val="Compact"/>
              <w:jc w:val="left"/>
            </w:pPr>
            <w:r>
              <w:rPr>
                <w:bCs/>
                <w:b/>
              </w:rPr>
              <w:t xml:space="preserve">Phone:</w:t>
            </w:r>
            <w:r>
              <w:t xml:space="preserve"> </w:t>
            </w:r>
            <w:r>
              <w:t xml:space="preserve">+54 353 456-7890</w:t>
            </w:r>
          </w:p>
        </w:tc>
      </w:tr>
    </w:tbl>
    <w:p>
      <w:pPr>
        <w:pStyle w:val="BodyText"/>
      </w:pPr>
      <w:r>
        <w:t xml:space="preserve">2. Scope of Work &amp; Description</w:t>
      </w:r>
    </w:p>
    <w:p>
      <w:pPr>
        <w:pStyle w:val="BodyText"/>
      </w:pPr>
      <w:r>
        <w:t xml:space="preserve">This</w:t>
      </w:r>
      <w:r>
        <w:t xml:space="preserve"> </w:t>
      </w:r>
      <w:r>
        <w:t xml:space="preserve">Quotation Estimate</w:t>
      </w:r>
      <w:r>
        <w:t xml:space="preserve"> </w:t>
      </w:r>
      <w:r>
        <w:t xml:space="preserve">is issued by our firm to provide comprehensive professional services rendered by a licensed</w:t>
      </w:r>
      <w:r>
        <w:t xml:space="preserve"> </w:t>
      </w:r>
      <w:r>
        <w:t xml:space="preserve">Chemical Engineer</w:t>
      </w:r>
      <w:r>
        <w:t xml:space="preserve"> </w:t>
      </w:r>
      <w:r>
        <w:t xml:space="preserve">operating within the jurisdiction of</w:t>
      </w:r>
      <w:r>
        <w:t xml:space="preserve"> </w:t>
      </w:r>
      <w:r>
        <w:t xml:space="preserve">Argentina Córdoba</w:t>
      </w:r>
      <w:r>
        <w:t xml:space="preserve">. The scope encompasses the design, optimization, and regulatory compliance review of a new ethanol distillation unit to be installed at the client's facility in Villa María, Córdoba Province. All engineering deliverables will be prepared in accordance with the technical standards established by the Argentine Chamber of Chemical Engineers (Cámara Argentina de Ingenieros Químicos) and the environmental regulations enforced by the Ministry of Environment of the Province of Córdoba.</w:t>
      </w:r>
    </w:p>
    <w:p>
      <w:pPr>
        <w:pStyle w:val="BodyText"/>
      </w:pPr>
      <w:r>
        <w:t xml:space="preserve">The</w:t>
      </w:r>
      <w:r>
        <w:t xml:space="preserve"> </w:t>
      </w:r>
      <w:r>
        <w:t xml:space="preserve">Chemical Engineer</w:t>
      </w:r>
      <w:r>
        <w:t xml:space="preserve"> </w:t>
      </w:r>
      <w:r>
        <w:t xml:space="preserve">assigned to this project will conduct a full process simulation, material balance analysis, heat and mass transfer calculations, and a preliminary hazard analysis (PHA) for the proposed distillation column system. Additionally, the engineer will prepare the technical dossier required for the environmental impact assessment (EIA) submission to the Córdoba Provincial Environment Agency (Agencia de Protección Ambiental de Córdoba).</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(ARS)</w:t>
            </w:r>
          </w:p>
        </w:tc>
        <w:tc>
          <w:tcPr/>
          <w:p>
            <w:pPr>
              <w:pStyle w:val="Compact"/>
              <w:jc w:val="left"/>
            </w:pPr>
            <w:r>
              <w:t xml:space="preserve">Subtotal (ARS)</w:t>
            </w:r>
          </w:p>
        </w:tc>
        <w:tc>
          <w:tcPr/>
          <w:p>
            <w:pPr>
              <w:pStyle w:val="Compact"/>
              <w:jc w:val="left"/>
            </w:pPr>
            <w:r>
              <w:t xml:space="preserve">Unit (USD)</w:t>
            </w:r>
          </w:p>
        </w:tc>
      </w:tr>
      <w:tr>
        <w:tc>
          <w:tcPr/>
          <w:p>
            <w:pPr>
              <w:pStyle w:val="Compact"/>
              <w:jc w:val="left"/>
            </w:pPr>
            <w:r>
              <w:t xml:space="preserve">1</w:t>
            </w:r>
          </w:p>
        </w:tc>
        <w:tc>
          <w:tcPr/>
          <w:p>
            <w:pPr>
              <w:pStyle w:val="Compact"/>
              <w:jc w:val="left"/>
            </w:pPr>
            <w:r>
              <w:t xml:space="preserve">Process design &amp; simulation of ethanol distillation column (Aspen Plus / HYSYS)</w:t>
            </w:r>
          </w:p>
        </w:tc>
        <w:tc>
          <w:tcPr/>
          <w:p>
            <w:pPr>
              <w:pStyle w:val="Compact"/>
              <w:jc w:val="left"/>
            </w:pPr>
            <w:r>
              <w:t xml:space="preserve">1 package</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1,420.00</w:t>
            </w:r>
          </w:p>
        </w:tc>
      </w:tr>
      <w:tr>
        <w:tc>
          <w:tcPr/>
          <w:p>
            <w:pPr>
              <w:pStyle w:val="Compact"/>
              <w:jc w:val="left"/>
            </w:pPr>
            <w:r>
              <w:t xml:space="preserve">2</w:t>
            </w:r>
          </w:p>
        </w:tc>
        <w:tc>
          <w:tcPr/>
          <w:p>
            <w:pPr>
              <w:pStyle w:val="Compact"/>
              <w:jc w:val="left"/>
            </w:pPr>
            <w:r>
              <w:t xml:space="preserve">Material &amp; energy balance with sensitivity analysis</w:t>
            </w:r>
          </w:p>
        </w:tc>
        <w:tc>
          <w:tcPr/>
          <w:p>
            <w:pPr>
              <w:pStyle w:val="Compact"/>
              <w:jc w:val="left"/>
            </w:pPr>
            <w:r>
              <w:t xml:space="preserve">1 report</w:t>
            </w:r>
          </w:p>
        </w:tc>
        <w:tc>
          <w:tcPr/>
          <w:p>
            <w:pPr>
              <w:pStyle w:val="Compact"/>
              <w:jc w:val="left"/>
            </w:pPr>
            <w:r>
              <w:t xml:space="preserve">920,000</w:t>
            </w:r>
          </w:p>
        </w:tc>
        <w:tc>
          <w:tcPr/>
          <w:p>
            <w:pPr>
              <w:pStyle w:val="Compact"/>
              <w:jc w:val="left"/>
            </w:pPr>
            <w:r>
              <w:t xml:space="preserve">920,000</w:t>
            </w:r>
          </w:p>
        </w:tc>
        <w:tc>
          <w:tcPr/>
          <w:p>
            <w:pPr>
              <w:pStyle w:val="Compact"/>
              <w:jc w:val="left"/>
            </w:pPr>
            <w:r>
              <w:t xml:space="preserve">710.00</w:t>
            </w:r>
          </w:p>
        </w:tc>
      </w:tr>
      <w:tr>
        <w:tc>
          <w:tcPr/>
          <w:p>
            <w:pPr>
              <w:pStyle w:val="Compact"/>
              <w:jc w:val="left"/>
            </w:pPr>
            <w:r>
              <w:t xml:space="preserve">3</w:t>
            </w:r>
          </w:p>
        </w:tc>
        <w:tc>
          <w:tcPr/>
          <w:p>
            <w:pPr>
              <w:pStyle w:val="Compact"/>
              <w:jc w:val="left"/>
            </w:pPr>
            <w:r>
              <w:t xml:space="preserve">Preliminary Hazard Analysis (PHA) &amp; Safety Data Sheets (SDS) compilation</w:t>
            </w:r>
          </w:p>
        </w:tc>
        <w:tc>
          <w:tcPr/>
          <w:p>
            <w:pPr>
              <w:pStyle w:val="Compact"/>
              <w:jc w:val="left"/>
            </w:pPr>
            <w:r>
              <w:t xml:space="preserve">1 deliverable</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Environmental Impact Assessment (EIA) technical dossier for Córdoba Province</w:t>
            </w:r>
          </w:p>
        </w:tc>
        <w:tc>
          <w:tcPr/>
          <w:p>
            <w:pPr>
              <w:pStyle w:val="Compact"/>
              <w:jc w:val="left"/>
            </w:pPr>
            <w:r>
              <w:t xml:space="preserve">1 dossier</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925.00</w:t>
            </w:r>
          </w:p>
        </w:tc>
      </w:tr>
      <w:tr>
        <w:tc>
          <w:tcPr/>
          <w:p>
            <w:pPr>
              <w:pStyle w:val="Compact"/>
              <w:jc w:val="left"/>
            </w:pPr>
            <w:r>
              <w:t xml:space="preserve">5</w:t>
            </w:r>
          </w:p>
        </w:tc>
        <w:tc>
          <w:tcPr/>
          <w:p>
            <w:pPr>
              <w:pStyle w:val="Compact"/>
              <w:jc w:val="left"/>
            </w:pPr>
            <w:r>
              <w:t xml:space="preserve">On-site inspection &amp; feasibility survey at Villa María plant (2 days)</w:t>
            </w:r>
          </w:p>
        </w:tc>
        <w:tc>
          <w:tcPr/>
          <w:p>
            <w:pPr>
              <w:pStyle w:val="Compact"/>
              <w:jc w:val="left"/>
            </w:pPr>
            <w:r>
              <w:t xml:space="preserve">2 days</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695.00</w:t>
            </w:r>
          </w:p>
        </w:tc>
      </w:tr>
      <w:tr>
        <w:tc>
          <w:tcPr/>
          <w:p>
            <w:pPr>
              <w:pStyle w:val="Compact"/>
              <w:jc w:val="left"/>
            </w:pPr>
            <w:r>
              <w:t xml:space="preserve">6</w:t>
            </w:r>
          </w:p>
        </w:tc>
        <w:tc>
          <w:tcPr/>
          <w:p>
            <w:pPr>
              <w:pStyle w:val="Compact"/>
              <w:jc w:val="left"/>
            </w:pPr>
            <w:r>
              <w:t xml:space="preserve">Regulatory compliance review per Argentine Chemical Engineering Law (Ley 24.040) &amp; Córdoba provincial decrees</w:t>
            </w:r>
          </w:p>
        </w:tc>
        <w:tc>
          <w:tcPr/>
          <w:p>
            <w:pPr>
              <w:pStyle w:val="Compact"/>
              <w:jc w:val="left"/>
            </w:pPr>
            <w:r>
              <w:t xml:space="preserve">1 review</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500.00</w:t>
            </w:r>
          </w:p>
        </w:tc>
      </w:tr>
      <w:tr>
        <w:tc>
          <w:tcPr/>
          <w:p>
            <w:pPr>
              <w:pStyle w:val="Compact"/>
              <w:jc w:val="left"/>
            </w:pPr>
            <w:r>
              <w:t xml:space="preserve">7</w:t>
            </w:r>
          </w:p>
        </w:tc>
        <w:tc>
          <w:tcPr/>
          <w:p>
            <w:pPr>
              <w:pStyle w:val="Compact"/>
              <w:jc w:val="left"/>
            </w:pPr>
            <w:r>
              <w:t xml:space="preserve">Technical supervision during equipment commissioning (estimated 5 days)</w:t>
            </w:r>
          </w:p>
        </w:tc>
        <w:tc>
          <w:tcPr/>
          <w:p>
            <w:pPr>
              <w:pStyle w:val="Compact"/>
              <w:jc w:val="left"/>
            </w:pPr>
            <w:r>
              <w:t xml:space="preserve">5 days</w:t>
            </w:r>
          </w:p>
        </w:tc>
        <w:tc>
          <w:tcPr/>
          <w:p>
            <w:pPr>
              <w:pStyle w:val="Compact"/>
              <w:jc w:val="left"/>
            </w:pPr>
            <w:r>
              <w:t xml:space="preserve">520,000</w:t>
            </w:r>
          </w:p>
        </w:tc>
        <w:tc>
          <w:tcPr/>
          <w:p>
            <w:pPr>
              <w:pStyle w:val="Compact"/>
              <w:jc w:val="left"/>
            </w:pPr>
            <w:r>
              <w:t xml:space="preserve">2,600,000</w:t>
            </w:r>
          </w:p>
        </w:tc>
        <w:tc>
          <w:tcPr/>
          <w:p>
            <w:pPr>
              <w:pStyle w:val="Compact"/>
              <w:jc w:val="left"/>
            </w:pPr>
            <w:r>
              <w:t xml:space="preserve">2,000.00</w:t>
            </w:r>
          </w:p>
        </w:tc>
      </w:tr>
      <w:tr>
        <w:tc>
          <w:tcPr/>
          <w:p>
            <w:pPr>
              <w:pStyle w:val="Compact"/>
              <w:jc w:val="left"/>
            </w:pPr>
            <w:r>
              <w:t xml:space="preserve">8</w:t>
            </w:r>
          </w:p>
        </w:tc>
        <w:tc>
          <w:tcPr/>
          <w:p>
            <w:pPr>
              <w:pStyle w:val="Compact"/>
              <w:jc w:val="left"/>
            </w:pPr>
            <w:r>
              <w:t xml:space="preserve">Final engineering report, stamped &amp; signed by the responsible Chemical Engineer</w:t>
            </w:r>
          </w:p>
        </w:tc>
        <w:tc>
          <w:tcPr/>
          <w:p>
            <w:pPr>
              <w:pStyle w:val="Compact"/>
              <w:jc w:val="left"/>
            </w:pPr>
            <w:r>
              <w:t xml:space="preserve">1 report</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370.00</w:t>
            </w:r>
          </w:p>
        </w:tc>
      </w:tr>
      <w:tr>
        <w:tc>
          <w:tcPr>
            <w:gridSpan w:val="4"/>
          </w:tcPr>
          <w:p>
            <w:pPr>
              <w:pStyle w:val="Compact"/>
              <w:jc w:val="left"/>
            </w:pPr>
            <w:r>
              <w:t xml:space="preserve">TOTAL ESTIMATED COST (before VAT / IVA 21%)</w:t>
            </w:r>
          </w:p>
        </w:tc>
        <w:tc>
          <w:tcPr/>
          <w:p>
            <w:pPr>
              <w:pStyle w:val="Compact"/>
              <w:jc w:val="left"/>
            </w:pPr>
            <w:r>
              <w:t xml:space="preserve">9,380,000</w:t>
            </w:r>
          </w:p>
        </w:tc>
        <w:tc>
          <w:tcPr/>
          <w:p>
            <w:pPr>
              <w:pStyle w:val="Compact"/>
              <w:jc w:val="left"/>
            </w:pPr>
            <w:r>
              <w:t xml:space="preserve">7,220.00</w:t>
            </w:r>
          </w:p>
        </w:tc>
      </w:tr>
      <w:tr>
        <w:tc>
          <w:tcPr>
            <w:gridSpan w:val="4"/>
          </w:tcPr>
          <w:p>
            <w:pPr>
              <w:pStyle w:val="Compact"/>
              <w:jc w:val="left"/>
            </w:pPr>
            <w:r>
              <w:t xml:space="preserve">VAT (IVA) 21% — Argentina Córdoba</w:t>
            </w:r>
          </w:p>
        </w:tc>
        <w:tc>
          <w:tcPr/>
          <w:p>
            <w:pPr>
              <w:pStyle w:val="Compact"/>
              <w:jc w:val="left"/>
            </w:pPr>
            <w:r>
              <w:t xml:space="preserve">1,969,800</w:t>
            </w:r>
          </w:p>
        </w:tc>
        <w:tc>
          <w:tcPr/>
          <w:p>
            <w:pPr>
              <w:pStyle w:val="Compact"/>
              <w:jc w:val="left"/>
            </w:pPr>
            <w:r>
              <w:t xml:space="preserve">1,516.20</w:t>
            </w:r>
          </w:p>
        </w:tc>
      </w:tr>
      <w:tr>
        <w:tc>
          <w:tcPr>
            <w:gridSpan w:val="4"/>
          </w:tcPr>
          <w:p>
            <w:pPr>
              <w:pStyle w:val="Compact"/>
              <w:jc w:val="left"/>
            </w:pPr>
            <w:r>
              <w:t xml:space="preserve">GRAND TOTAL (ARS / USD)</w:t>
            </w:r>
          </w:p>
        </w:tc>
        <w:tc>
          <w:tcPr/>
          <w:p>
            <w:pPr>
              <w:pStyle w:val="Compact"/>
              <w:jc w:val="left"/>
            </w:pPr>
            <w:r>
              <w:t xml:space="preserve">11,349,800</w:t>
            </w:r>
          </w:p>
        </w:tc>
        <w:tc>
          <w:tcPr/>
          <w:p>
            <w:pPr>
              <w:pStyle w:val="Compact"/>
              <w:jc w:val="left"/>
            </w:pPr>
            <w:r>
              <w:t xml:space="preserve">8,736.20</w:t>
            </w:r>
          </w:p>
        </w:tc>
      </w:tr>
    </w:tbl>
    <w:p>
      <w:pPr>
        <w:pStyle w:val="BodyText"/>
      </w:pPr>
      <w:r>
        <w:t xml:space="preserve">* USD conversion based on BCRA official rate as of 15 June 2025. Final settlement in Argentine Pesos (ARS) unless otherwise agreed in writing.</w:t>
      </w:r>
    </w:p>
    <w:p>
      <w:pPr>
        <w:pStyle w:val="BodyText"/>
      </w:pPr>
      <w:r>
        <w:t xml:space="preserve">4. Payment Terms</w:t>
      </w:r>
    </w:p>
    <w:p>
      <w:pPr>
        <w:numPr>
          <w:ilvl w:val="0"/>
          <w:numId w:val="1001"/>
        </w:numPr>
        <w:pStyle w:val="Compact"/>
      </w:pPr>
      <w:r>
        <w:rPr>
          <w:bCs/>
          <w:b/>
        </w:rPr>
        <w:t xml:space="preserve">30%</w:t>
      </w:r>
      <w:r>
        <w:t xml:space="preserve"> </w:t>
      </w:r>
      <w:r>
        <w:t xml:space="preserve">advance payment upon acceptance of this Quotation Estimate and signing of the service contract.</w:t>
      </w:r>
    </w:p>
    <w:p>
      <w:pPr>
        <w:numPr>
          <w:ilvl w:val="0"/>
          <w:numId w:val="1001"/>
        </w:numPr>
        <w:pStyle w:val="Compact"/>
      </w:pPr>
      <w:r>
        <w:rPr>
          <w:bCs/>
          <w:b/>
        </w:rPr>
        <w:t xml:space="preserve">40%</w:t>
      </w:r>
      <w:r>
        <w:t xml:space="preserve"> </w:t>
      </w:r>
      <w:r>
        <w:t xml:space="preserve">upon delivery of the process design package, PHA report, and EIA dossier.</w:t>
      </w:r>
    </w:p>
    <w:p>
      <w:pPr>
        <w:numPr>
          <w:ilvl w:val="0"/>
          <w:numId w:val="1001"/>
        </w:numPr>
        <w:pStyle w:val="Compact"/>
      </w:pPr>
      <w:r>
        <w:rPr>
          <w:bCs/>
          <w:b/>
        </w:rPr>
        <w:t xml:space="preserve">30%</w:t>
      </w:r>
      <w:r>
        <w:t xml:space="preserve"> </w:t>
      </w:r>
      <w:r>
        <w:t xml:space="preserve">upon completion of on-site commissioning supervision and delivery of the final stamped engineering report.</w:t>
      </w:r>
    </w:p>
    <w:p>
      <w:pPr>
        <w:numPr>
          <w:ilvl w:val="0"/>
          <w:numId w:val="1001"/>
        </w:numPr>
        <w:pStyle w:val="Compact"/>
      </w:pPr>
      <w:r>
        <w:t xml:space="preserve">Payment to be made via bank transfer to the account of the engineering firm registered in Córdoba, Argentina. Invoices will be issued in compliance with AFIP (Administración Federal de Ingresos Públicos) electronic invoicing regulations.</w:t>
      </w:r>
    </w:p>
    <w:p>
      <w:pPr>
        <w:pStyle w:val="FirstParagraph"/>
      </w:pPr>
      <w:r>
        <w:t xml:space="preserve">5.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Estimated Duration</w:t>
            </w:r>
          </w:p>
        </w:tc>
        <w:tc>
          <w:tcPr/>
          <w:p>
            <w:pPr>
              <w:pStyle w:val="Compact"/>
              <w:jc w:val="left"/>
            </w:pPr>
            <w:r>
              <w:t xml:space="preserve">Target Completion</w:t>
            </w:r>
          </w:p>
        </w:tc>
      </w:tr>
      <w:tr>
        <w:tc>
          <w:tcPr/>
          <w:p>
            <w:pPr>
              <w:pStyle w:val="Compact"/>
              <w:jc w:val="left"/>
            </w:pPr>
            <w:r>
              <w:t xml:space="preserve">Process design &amp; simulation</w:t>
            </w:r>
          </w:p>
        </w:tc>
        <w:tc>
          <w:tcPr/>
          <w:p>
            <w:pPr>
              <w:pStyle w:val="Compact"/>
              <w:jc w:val="left"/>
            </w:pPr>
            <w:r>
              <w:t xml:space="preserve">4 weeks</w:t>
            </w:r>
          </w:p>
        </w:tc>
        <w:tc>
          <w:tcPr/>
          <w:p>
            <w:pPr>
              <w:pStyle w:val="Compact"/>
              <w:jc w:val="left"/>
            </w:pPr>
            <w:r>
              <w:t xml:space="preserve">13 July 2025</w:t>
            </w:r>
          </w:p>
        </w:tc>
      </w:tr>
      <w:tr>
        <w:tc>
          <w:tcPr/>
          <w:p>
            <w:pPr>
              <w:pStyle w:val="Compact"/>
              <w:jc w:val="left"/>
            </w:pPr>
            <w:r>
              <w:t xml:space="preserve">PHA &amp; EIA dossier preparation</w:t>
            </w:r>
          </w:p>
        </w:tc>
        <w:tc>
          <w:tcPr/>
          <w:p>
            <w:pPr>
              <w:pStyle w:val="Compact"/>
              <w:jc w:val="left"/>
            </w:pPr>
            <w:r>
              <w:t xml:space="preserve">3 weeks</w:t>
            </w:r>
          </w:p>
        </w:tc>
        <w:tc>
          <w:tcPr/>
          <w:p>
            <w:pPr>
              <w:pStyle w:val="Compact"/>
              <w:jc w:val="left"/>
            </w:pPr>
            <w:r>
              <w:t xml:space="preserve">03 August 2025</w:t>
            </w:r>
          </w:p>
        </w:tc>
      </w:tr>
      <w:tr>
        <w:tc>
          <w:tcPr/>
          <w:p>
            <w:pPr>
              <w:pStyle w:val="Compact"/>
              <w:jc w:val="left"/>
            </w:pPr>
            <w:r>
              <w:t xml:space="preserve">On-site inspection &amp; feasibility survey</w:t>
            </w:r>
          </w:p>
        </w:tc>
        <w:tc>
          <w:tcPr/>
          <w:p>
            <w:pPr>
              <w:pStyle w:val="Compact"/>
              <w:jc w:val="left"/>
            </w:pPr>
            <w:r>
              <w:t xml:space="preserve">2 days</w:t>
            </w:r>
          </w:p>
        </w:tc>
        <w:tc>
          <w:tcPr/>
          <w:p>
            <w:pPr>
              <w:pStyle w:val="Compact"/>
              <w:jc w:val="left"/>
            </w:pPr>
            <w:r>
              <w:t xml:space="preserve">15 August 2025</w:t>
            </w:r>
          </w:p>
        </w:tc>
      </w:tr>
      <w:tr>
        <w:tc>
          <w:tcPr/>
          <w:p>
            <w:pPr>
              <w:pStyle w:val="Compact"/>
              <w:jc w:val="left"/>
            </w:pPr>
            <w:r>
              <w:t xml:space="preserve">Regulatory submission &amp; compliance review</w:t>
            </w:r>
          </w:p>
        </w:tc>
        <w:tc>
          <w:tcPr/>
          <w:p>
            <w:pPr>
              <w:pStyle w:val="Compact"/>
              <w:jc w:val="left"/>
            </w:pPr>
            <w:r>
              <w:t xml:space="preserve">2 weeks</w:t>
            </w:r>
          </w:p>
        </w:tc>
        <w:tc>
          <w:tcPr/>
          <w:p>
            <w:pPr>
              <w:pStyle w:val="Compact"/>
              <w:jc w:val="left"/>
            </w:pPr>
            <w:r>
              <w:t xml:space="preserve">29 August 2025</w:t>
            </w:r>
          </w:p>
        </w:tc>
      </w:tr>
      <w:tr>
        <w:tc>
          <w:tcPr/>
          <w:p>
            <w:pPr>
              <w:pStyle w:val="Compact"/>
              <w:jc w:val="left"/>
            </w:pPr>
            <w:r>
              <w:t xml:space="preserve">Commissioning supervision &amp; final report</w:t>
            </w:r>
          </w:p>
        </w:tc>
        <w:tc>
          <w:tcPr/>
          <w:p>
            <w:pPr>
              <w:pStyle w:val="Compact"/>
              <w:jc w:val="left"/>
            </w:pPr>
            <w:r>
              <w:t xml:space="preserve">3 weeks</w:t>
            </w:r>
          </w:p>
        </w:tc>
        <w:tc>
          <w:tcPr/>
          <w:p>
            <w:pPr>
              <w:pStyle w:val="Compact"/>
              <w:jc w:val="left"/>
            </w:pPr>
            <w:r>
              <w:t xml:space="preserve">19 September 2025</w:t>
            </w:r>
          </w:p>
        </w:tc>
      </w:tr>
    </w:tbl>
    <w:p>
      <w:pPr>
        <w:pStyle w:val="BodyText"/>
      </w:pPr>
      <w:r>
        <w:t xml:space="preserve">6. Terms, Conditions &amp; Legal Notes</w:t>
      </w:r>
    </w:p>
    <w:p>
      <w:pPr>
        <w:numPr>
          <w:ilvl w:val="0"/>
          <w:numId w:val="1002"/>
        </w:numPr>
        <w:pStyle w:val="Compact"/>
      </w:pPr>
      <w:r>
        <w:t xml:space="preserve">This Quotation Estimate is valid for thirty (30) calendar days from the date of issue. After this period, pricing may be adjusted to reflect changes in the Argentine peso exchange rate or material cost indices.</w:t>
      </w:r>
    </w:p>
    <w:p>
      <w:pPr>
        <w:numPr>
          <w:ilvl w:val="0"/>
          <w:numId w:val="1002"/>
        </w:numPr>
        <w:pStyle w:val="Compact"/>
      </w:pPr>
      <w:r>
        <w:t xml:space="preserve">All engineering services will be performed by a duly licensed Chemical Engineer registered with the Professional Association of Engineers of Córdoba (Asociación de Ingenieros Profesionales de Córdoba) and in full compliance with Argentine national and provincial regulations governing the practice of chemical engineering.</w:t>
      </w:r>
    </w:p>
    <w:p>
      <w:pPr>
        <w:numPr>
          <w:ilvl w:val="0"/>
          <w:numId w:val="1002"/>
        </w:numPr>
        <w:pStyle w:val="Compact"/>
      </w:pPr>
      <w:r>
        <w:t xml:space="preserve">The client acknowledges that the final design and regulatory approvals are subject to review by the relevant authorities in Argentina Córdoba, including the Provincial Environment Agency and the Municipal Technical Office of Villa María.</w:t>
      </w:r>
    </w:p>
    <w:p>
      <w:pPr>
        <w:numPr>
          <w:ilvl w:val="0"/>
          <w:numId w:val="1002"/>
        </w:numPr>
        <w:pStyle w:val="Compact"/>
      </w:pPr>
      <w:r>
        <w:t xml:space="preserve">Confidentiality: All process data, proprietary formulations, and operational parameters shared during the engagement shall be treated as strictly confidential and shall not be disclosed to third parties without written consent.</w:t>
      </w:r>
    </w:p>
    <w:p>
      <w:pPr>
        <w:numPr>
          <w:ilvl w:val="0"/>
          <w:numId w:val="1002"/>
        </w:numPr>
        <w:pStyle w:val="Compact"/>
      </w:pPr>
      <w:r>
        <w:t xml:space="preserve">Liability: The engineering firm's liability under this Quotation Estimate is limited to the total contract value. The firm shall not be held responsible for delays caused by regulatory authorities, force majeure events, or client-side operational changes.</w:t>
      </w:r>
    </w:p>
    <w:p>
      <w:pPr>
        <w:numPr>
          <w:ilvl w:val="0"/>
          <w:numId w:val="1002"/>
        </w:numPr>
        <w:pStyle w:val="Compact"/>
      </w:pPr>
      <w:r>
        <w:t xml:space="preserve">Governing Law: This agreement shall be governed by the Civil and Commercial Code of the Argentine Nation and the specific technical regulations applicable to the Province of Córdoba.</w:t>
      </w:r>
    </w:p>
    <w:p>
      <w:pPr>
        <w:numPr>
          <w:ilvl w:val="0"/>
          <w:numId w:val="1002"/>
        </w:numPr>
        <w:pStyle w:val="Compact"/>
      </w:pPr>
      <w:r>
        <w:t xml:space="preserve">Dispute resolution: Any dispute arising from this Quotation Estimate shall be resolved through mediation before the Chamber of Commerce of Córdoba, and failing that, through the competent courts of the city of Córdoba, Argentina.</w:t>
      </w:r>
    </w:p>
    <w:p>
      <w:pPr>
        <w:pStyle w:val="FirstParagraph"/>
      </w:pPr>
      <w:r>
        <w:t xml:space="preserve">7.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the</w:t>
      </w:r>
      <w:r>
        <w:t xml:space="preserve"> </w:t>
      </w:r>
      <w:r>
        <w:t xml:space="preserve">Chemical Engineer</w:t>
      </w:r>
      <w:r>
        <w:t xml:space="preserve"> </w:t>
      </w:r>
      <w:r>
        <w:t xml:space="preserve">services described. This document constitutes a binding offer subject to the conditions stated above.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the Engineering Firm</w:t>
            </w:r>
          </w:p>
        </w:tc>
        <w:tc>
          <w:tcPr/>
          <w:p>
            <w:pPr>
              <w:pStyle w:val="Compact"/>
              <w:jc w:val="left"/>
            </w:pPr>
            <w:r>
              <w:t xml:space="preserve">For the Client</w:t>
            </w:r>
          </w:p>
        </w:tc>
      </w:tr>
      <w:tr>
        <w:tc>
          <w:tcPr/>
          <w:p>
            <w:pPr>
              <w:jc w:val="left"/>
            </w:pPr>
            <w:r>
              <w:t xml:space="preserve">Signature: ___________________________</w:t>
            </w:r>
          </w:p>
          <w:p>
            <w:pPr>
              <w:jc w:val="left"/>
            </w:pPr>
            <w:r>
              <w:t xml:space="preserve">Name: Ing. María Elena Sosa</w:t>
            </w:r>
          </w:p>
          <w:p>
            <w:pPr>
              <w:jc w:val="left"/>
            </w:pPr>
            <w:r>
              <w:t xml:space="preserve">Role: Senior Chemical Engineer / Project Director</w:t>
            </w:r>
          </w:p>
          <w:p>
            <w:pPr>
              <w:jc w:val="left"/>
            </w:pPr>
            <w:r>
              <w:t xml:space="preserve">Date: ___________________________</w:t>
            </w:r>
          </w:p>
        </w:tc>
        <w:tc>
          <w:tcPr/>
          <w:p>
            <w:pPr>
              <w:jc w:val="left"/>
            </w:pPr>
            <w:r>
              <w:t xml:space="preserve">Signature: ___________________________</w:t>
            </w:r>
          </w:p>
          <w:p>
            <w:pPr>
              <w:jc w:val="left"/>
            </w:pPr>
            <w:r>
              <w:t xml:space="preserve">Name: Lic. Roberto Fernández</w:t>
            </w:r>
          </w:p>
          <w:p>
            <w:pPr>
              <w:jc w:val="left"/>
            </w:pPr>
            <w:r>
              <w:t xml:space="preserve">Role: Procurement Manager, AgroIndustrias del Centro S.A.</w:t>
            </w:r>
          </w:p>
          <w:p>
            <w:pPr>
              <w:jc w:val="left"/>
            </w:pPr>
            <w:r>
              <w:t xml:space="preserve">Date: ___________________________</w:t>
            </w:r>
          </w:p>
        </w:tc>
      </w:tr>
    </w:tbl>
    <w:p>
      <w:pPr>
        <w:pStyle w:val="BodyText"/>
      </w:pPr>
      <w:r>
        <w:t xml:space="preserve">This Quotation Estimate was prepared for use in Argentina Córdoba. All engineering services comply with the standards of the Argentine Chamber of Chemical Engineers and applicable provincial regulations.</w:t>
      </w:r>
      <w:r>
        <w:br/>
      </w:r>
      <w:r>
        <w:t xml:space="preserve">© 2025 Sosa &amp; Asociados — Chemical Engineering Consultants, Córdoba, Argentina. All rights reserved.</w:t>
      </w:r>
      <w:r>
        <w:br/>
      </w:r>
      <w:r>
        <w:t xml:space="preserve">Document QE-AC-2025-0472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Argentina Córdoba</dc:title>
  <dc:creator/>
  <dc:language>en</dc:language>
  <cp:keywords/>
  <dcterms:created xsi:type="dcterms:W3CDTF">2026-10-10T02:42:43Z</dcterms:created>
  <dcterms:modified xsi:type="dcterms:W3CDTF">2026-10-10T02:42:43Z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