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0" w:name="quotation-estimate"/>
    <w:p>
      <w:pPr>
        <w:pStyle w:val="Heading1"/>
      </w:pPr>
      <w:r>
        <w:t xml:space="preserve">Quotation Estimate</w:t>
      </w:r>
    </w:p>
    <w:p>
      <w:pPr>
        <w:pStyle w:val="FirstParagraph"/>
      </w:pPr>
      <w:r>
        <w:t xml:space="preserve">Professional Chemical Engineer Services</w:t>
      </w:r>
    </w:p>
    <w:p>
      <w:pPr>
        <w:pStyle w:val="BodyText"/>
      </w:pPr>
      <w:r>
        <w:t xml:space="preserve">Prepared for Clients in Australia Brisbane</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QE-CE-2025-04782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By:</w:t>
            </w:r>
          </w:p>
        </w:tc>
        <w:tc>
          <w:tcPr/>
          <w:p>
            <w:pPr>
              <w:pStyle w:val="Compact"/>
              <w:jc w:val="left"/>
            </w:pPr>
            <w:r>
              <w:t xml:space="preserve">Dr. Margaret Chen, Principal Chemical Engineer, PE (Queensland)</w:t>
            </w:r>
          </w:p>
        </w:tc>
      </w:tr>
      <w:tr>
        <w:tc>
          <w:tcPr/>
          <w:p>
            <w:pPr>
              <w:pStyle w:val="Compact"/>
              <w:jc w:val="left"/>
            </w:pPr>
            <w:r>
              <w:t xml:space="preserve">Company:</w:t>
            </w:r>
          </w:p>
        </w:tc>
        <w:tc>
          <w:tcPr/>
          <w:p>
            <w:pPr>
              <w:pStyle w:val="Compact"/>
              <w:jc w:val="left"/>
            </w:pPr>
            <w:r>
              <w:t xml:space="preserve">Chen &amp; Associates Engineering Solutions Pty Ltd</w:t>
            </w:r>
          </w:p>
        </w:tc>
      </w:tr>
      <w:tr>
        <w:tc>
          <w:tcPr/>
          <w:p>
            <w:pPr>
              <w:pStyle w:val="Compact"/>
              <w:jc w:val="left"/>
            </w:pPr>
            <w:r>
              <w:t xml:space="preserve">Address:</w:t>
            </w:r>
          </w:p>
        </w:tc>
        <w:tc>
          <w:tcPr/>
          <w:p>
            <w:pPr>
              <w:pStyle w:val="Compact"/>
              <w:jc w:val="left"/>
            </w:pPr>
            <w:r>
              <w:t xml:space="preserve">Suite 420, Level 4, 120 Creek Street, Brisbane, Queensland 4000, Australia</w:t>
            </w:r>
          </w:p>
        </w:tc>
      </w:tr>
      <w:tr>
        <w:tc>
          <w:tcPr/>
          <w:p>
            <w:pPr>
              <w:pStyle w:val="Compact"/>
              <w:jc w:val="left"/>
            </w:pPr>
            <w:r>
              <w:t xml:space="preserve">Client:</w:t>
            </w:r>
          </w:p>
        </w:tc>
        <w:tc>
          <w:tcPr/>
          <w:p>
            <w:pPr>
              <w:pStyle w:val="Compact"/>
              <w:jc w:val="left"/>
            </w:pPr>
            <w:r>
              <w:t xml:space="preserve">Queensland Industrial Processing Group (QIPG)</w:t>
            </w:r>
          </w:p>
        </w:tc>
      </w:tr>
      <w:tr>
        <w:tc>
          <w:tcPr/>
          <w:p>
            <w:pPr>
              <w:pStyle w:val="Compact"/>
              <w:jc w:val="left"/>
            </w:pPr>
            <w:r>
              <w:t xml:space="preserve">Client Address:</w:t>
            </w:r>
          </w:p>
        </w:tc>
        <w:tc>
          <w:tcPr/>
          <w:p>
            <w:pPr>
              <w:pStyle w:val="Compact"/>
              <w:jc w:val="left"/>
            </w:pPr>
            <w:r>
              <w:t xml:space="preserve">88 River Road, Rocklea, Brisbane, Queensland 4106, Australia</w:t>
            </w:r>
          </w:p>
        </w:tc>
      </w:tr>
      <w:tr>
        <w:tc>
          <w:tcPr/>
          <w:p>
            <w:pPr>
              <w:pStyle w:val="Compact"/>
              <w:jc w:val="left"/>
            </w:pPr>
            <w:r>
              <w:t xml:space="preserve">Project Location:</w:t>
            </w:r>
          </w:p>
        </w:tc>
        <w:tc>
          <w:tcPr/>
          <w:p>
            <w:pPr>
              <w:pStyle w:val="Compact"/>
              <w:jc w:val="left"/>
            </w:pPr>
            <w:r>
              <w:t xml:space="preserve">Logan Industrial Estate, Brisbane, Queensland, Australia</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has been prepared by Chen &amp; Associates Engineering Solutions Pty Ltd to provide comprehensive professional services for the engagement of a qualified</w:t>
      </w:r>
      <w:r>
        <w:t xml:space="preserve"> </w:t>
      </w:r>
      <w:r>
        <w:t xml:space="preserve">Chemical Engineer</w:t>
      </w:r>
      <w:r>
        <w:t xml:space="preserve"> </w:t>
      </w:r>
      <w:r>
        <w:t xml:space="preserve">to support Queensland Industrial Processing Group (QIPG) at their facility in the Logan Industrial Estate,</w:t>
      </w:r>
      <w:r>
        <w:t xml:space="preserve"> </w:t>
      </w:r>
      <w:r>
        <w:t xml:space="preserve">Australia Brisbane</w:t>
      </w:r>
      <w:r>
        <w:t xml:space="preserve">. This document outlines the scope of work, professional fees, project timelines, and all associated terms and conditions governing the engagement. The services described herein are designed to meet the regulatory standards set by Engineers Australia, the Queensland Building and Construction Commission, and all applicable Australian Standards relevant to chemical process engineering in the Brisbane region.</w:t>
      </w:r>
    </w:p>
    <w:bookmarkEnd w:id="21"/>
    <w:bookmarkStart w:id="22" w:name="scope-of-services"/>
    <w:p>
      <w:pPr>
        <w:pStyle w:val="Heading2"/>
      </w:pPr>
      <w:r>
        <w:t xml:space="preserve">2. Scope of Services</w:t>
      </w:r>
    </w:p>
    <w:p>
      <w:pPr>
        <w:pStyle w:val="FirstParagraph"/>
      </w:pPr>
      <w:r>
        <w:t xml:space="preserve">The</w:t>
      </w:r>
      <w:r>
        <w:t xml:space="preserve"> </w:t>
      </w:r>
      <w:r>
        <w:t xml:space="preserve">Chemical Engineer</w:t>
      </w:r>
      <w:r>
        <w:t xml:space="preserve"> </w:t>
      </w:r>
      <w:r>
        <w:t xml:space="preserve">engaged under this</w:t>
      </w:r>
      <w:r>
        <w:t xml:space="preserve"> </w:t>
      </w:r>
      <w:r>
        <w:t xml:space="preserve">Quotation Estimate</w:t>
      </w:r>
      <w:r>
        <w:t xml:space="preserve"> </w:t>
      </w:r>
      <w:r>
        <w:t xml:space="preserve">will deliver the following professional services at the client's premises in</w:t>
      </w:r>
      <w:r>
        <w:t xml:space="preserve"> </w:t>
      </w:r>
      <w:r>
        <w:t xml:space="preserve">Australia Brisbane</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1.1</w:t>
            </w:r>
          </w:p>
        </w:tc>
        <w:tc>
          <w:tcPr/>
          <w:p>
            <w:pPr>
              <w:pStyle w:val="Compact"/>
              <w:jc w:val="left"/>
            </w:pPr>
            <w:r>
              <w:t xml:space="preserve">Initial site assessment and process audit of existing chemical processing plant at the Brisbane facility, including hazard identification (HAZID) and hazard operability study (HAZOP)</w:t>
            </w:r>
          </w:p>
        </w:tc>
        <w:tc>
          <w:tcPr/>
          <w:p>
            <w:pPr>
              <w:pStyle w:val="Compact"/>
              <w:jc w:val="left"/>
            </w:pPr>
            <w:r>
              <w:t xml:space="preserve">5 days</w:t>
            </w:r>
          </w:p>
        </w:tc>
        <w:tc>
          <w:tcPr/>
          <w:p>
            <w:pPr>
              <w:pStyle w:val="Compact"/>
              <w:jc w:val="left"/>
            </w:pPr>
            <w:r>
              <w:t xml:space="preserve">$1,850/day</w:t>
            </w:r>
          </w:p>
        </w:tc>
        <w:tc>
          <w:tcPr/>
          <w:p>
            <w:pPr>
              <w:pStyle w:val="Compact"/>
              <w:jc w:val="left"/>
            </w:pPr>
            <w:r>
              <w:t xml:space="preserve">$9,250.00</w:t>
            </w:r>
          </w:p>
        </w:tc>
      </w:tr>
      <w:tr>
        <w:tc>
          <w:tcPr/>
          <w:p>
            <w:pPr>
              <w:pStyle w:val="Compact"/>
              <w:jc w:val="left"/>
            </w:pPr>
            <w:r>
              <w:t xml:space="preserve">1.2</w:t>
            </w:r>
          </w:p>
        </w:tc>
        <w:tc>
          <w:tcPr/>
          <w:p>
            <w:pPr>
              <w:pStyle w:val="Compact"/>
              <w:jc w:val="left"/>
            </w:pPr>
            <w:r>
              <w:t xml:space="preserve">Development of process flow diagrams (PFDs) and piping and instrumentation diagrams (P&amp;IDs) for the proposed expansion of the solvent recovery unit</w:t>
            </w:r>
          </w:p>
        </w:tc>
        <w:tc>
          <w:tcPr/>
          <w:p>
            <w:pPr>
              <w:pStyle w:val="Compact"/>
              <w:jc w:val="left"/>
            </w:pPr>
            <w:r>
              <w:t xml:space="preserve">12 days</w:t>
            </w:r>
          </w:p>
        </w:tc>
        <w:tc>
          <w:tcPr/>
          <w:p>
            <w:pPr>
              <w:pStyle w:val="Compact"/>
              <w:jc w:val="left"/>
            </w:pPr>
            <w:r>
              <w:t xml:space="preserve">$1,850/day</w:t>
            </w:r>
          </w:p>
        </w:tc>
        <w:tc>
          <w:tcPr/>
          <w:p>
            <w:pPr>
              <w:pStyle w:val="Compact"/>
              <w:jc w:val="left"/>
            </w:pPr>
            <w:r>
              <w:t xml:space="preserve">$22,200.00</w:t>
            </w:r>
          </w:p>
        </w:tc>
      </w:tr>
      <w:tr>
        <w:tc>
          <w:tcPr/>
          <w:p>
            <w:pPr>
              <w:pStyle w:val="Compact"/>
              <w:jc w:val="left"/>
            </w:pPr>
            <w:r>
              <w:t xml:space="preserve">1.3</w:t>
            </w:r>
          </w:p>
        </w:tc>
        <w:tc>
          <w:tcPr/>
          <w:p>
            <w:pPr>
              <w:pStyle w:val="Compact"/>
              <w:jc w:val="left"/>
            </w:pPr>
            <w:r>
              <w:t xml:space="preserve">Thermodynamic and reaction kinetics modelling for the new catalytic reactor system, including mass and energy balance calculations</w:t>
            </w:r>
          </w:p>
        </w:tc>
        <w:tc>
          <w:tcPr/>
          <w:p>
            <w:pPr>
              <w:pStyle w:val="Compact"/>
              <w:jc w:val="left"/>
            </w:pPr>
            <w:r>
              <w:t xml:space="preserve">8 days</w:t>
            </w:r>
          </w:p>
        </w:tc>
        <w:tc>
          <w:tcPr/>
          <w:p>
            <w:pPr>
              <w:pStyle w:val="Compact"/>
              <w:jc w:val="left"/>
            </w:pPr>
            <w:r>
              <w:t xml:space="preserve">$1,850/day</w:t>
            </w:r>
          </w:p>
        </w:tc>
        <w:tc>
          <w:tcPr/>
          <w:p>
            <w:pPr>
              <w:pStyle w:val="Compact"/>
              <w:jc w:val="left"/>
            </w:pPr>
            <w:r>
              <w:t xml:space="preserve">$14,800.00</w:t>
            </w:r>
          </w:p>
        </w:tc>
      </w:tr>
      <w:tr>
        <w:tc>
          <w:tcPr/>
          <w:p>
            <w:pPr>
              <w:pStyle w:val="Compact"/>
              <w:jc w:val="left"/>
            </w:pPr>
            <w:r>
              <w:t xml:space="preserve">1.4</w:t>
            </w:r>
          </w:p>
        </w:tc>
        <w:tc>
          <w:tcPr/>
          <w:p>
            <w:pPr>
              <w:pStyle w:val="Compact"/>
              <w:jc w:val="left"/>
            </w:pPr>
            <w:r>
              <w:t xml:space="preserve">Preparation of the Environmental Impact Assessment (EIA) technical report in compliance with the Queensland Environmental Protection Act 1994 and Brisbane City Council planning requirements</w:t>
            </w:r>
          </w:p>
        </w:tc>
        <w:tc>
          <w:tcPr/>
          <w:p>
            <w:pPr>
              <w:pStyle w:val="Compact"/>
              <w:jc w:val="left"/>
            </w:pPr>
            <w:r>
              <w:t xml:space="preserve">10 days</w:t>
            </w:r>
          </w:p>
        </w:tc>
        <w:tc>
          <w:tcPr/>
          <w:p>
            <w:pPr>
              <w:pStyle w:val="Compact"/>
              <w:jc w:val="left"/>
            </w:pPr>
            <w:r>
              <w:t xml:space="preserve">$1,850/day</w:t>
            </w:r>
          </w:p>
        </w:tc>
        <w:tc>
          <w:tcPr/>
          <w:p>
            <w:pPr>
              <w:pStyle w:val="Compact"/>
              <w:jc w:val="left"/>
            </w:pPr>
            <w:r>
              <w:t xml:space="preserve">$18,500.00</w:t>
            </w:r>
          </w:p>
        </w:tc>
      </w:tr>
      <w:tr>
        <w:tc>
          <w:tcPr/>
          <w:p>
            <w:pPr>
              <w:pStyle w:val="Compact"/>
              <w:jc w:val="left"/>
            </w:pPr>
            <w:r>
              <w:t xml:space="preserve">1.5</w:t>
            </w:r>
          </w:p>
        </w:tc>
        <w:tc>
          <w:tcPr/>
          <w:p>
            <w:pPr>
              <w:pStyle w:val="Compact"/>
              <w:jc w:val="left"/>
            </w:pPr>
            <w:r>
              <w:t xml:space="preserve">Design of the wastewater treatment and effluent management system to meet Queensland Water Act 2000 discharge standards for the Brisbane waterway</w:t>
            </w:r>
          </w:p>
        </w:tc>
        <w:tc>
          <w:tcPr/>
          <w:p>
            <w:pPr>
              <w:pStyle w:val="Compact"/>
              <w:jc w:val="left"/>
            </w:pPr>
            <w:r>
              <w:t xml:space="preserve">7 days</w:t>
            </w:r>
          </w:p>
        </w:tc>
        <w:tc>
          <w:tcPr/>
          <w:p>
            <w:pPr>
              <w:pStyle w:val="Compact"/>
              <w:jc w:val="left"/>
            </w:pPr>
            <w:r>
              <w:t xml:space="preserve">$1,850/day</w:t>
            </w:r>
          </w:p>
        </w:tc>
        <w:tc>
          <w:tcPr/>
          <w:p>
            <w:pPr>
              <w:pStyle w:val="Compact"/>
              <w:jc w:val="left"/>
            </w:pPr>
            <w:r>
              <w:t xml:space="preserve">$12,950.00</w:t>
            </w:r>
          </w:p>
        </w:tc>
      </w:tr>
      <w:tr>
        <w:tc>
          <w:tcPr/>
          <w:p>
            <w:pPr>
              <w:pStyle w:val="Compact"/>
              <w:jc w:val="left"/>
            </w:pPr>
            <w:r>
              <w:t xml:space="preserve">1.6</w:t>
            </w:r>
          </w:p>
        </w:tc>
        <w:tc>
          <w:tcPr/>
          <w:p>
            <w:pPr>
              <w:pStyle w:val="Compact"/>
              <w:jc w:val="left"/>
            </w:pPr>
            <w:r>
              <w:t xml:space="preserve">Commissioning support, operator training, and handover documentation for the completed chemical process system</w:t>
            </w:r>
          </w:p>
        </w:tc>
        <w:tc>
          <w:tcPr/>
          <w:p>
            <w:pPr>
              <w:pStyle w:val="Compact"/>
              <w:jc w:val="left"/>
            </w:pPr>
            <w:r>
              <w:t xml:space="preserve">6 days</w:t>
            </w:r>
          </w:p>
        </w:tc>
        <w:tc>
          <w:tcPr/>
          <w:p>
            <w:pPr>
              <w:pStyle w:val="Compact"/>
              <w:jc w:val="left"/>
            </w:pPr>
            <w:r>
              <w:t xml:space="preserve">$1,850/day</w:t>
            </w:r>
          </w:p>
        </w:tc>
        <w:tc>
          <w:tcPr/>
          <w:p>
            <w:pPr>
              <w:pStyle w:val="Compact"/>
              <w:jc w:val="left"/>
            </w:pPr>
            <w:r>
              <w:t xml:space="preserve">$11,100.00</w:t>
            </w:r>
          </w:p>
        </w:tc>
      </w:tr>
      <w:tr>
        <w:tc>
          <w:tcPr/>
          <w:p>
            <w:pPr>
              <w:pStyle w:val="Compact"/>
              <w:jc w:val="left"/>
            </w:pPr>
            <w:r>
              <w:t xml:space="preserve">1.7</w:t>
            </w:r>
          </w:p>
        </w:tc>
        <w:tc>
          <w:tcPr/>
          <w:p>
            <w:pPr>
              <w:pStyle w:val="Compact"/>
              <w:jc w:val="left"/>
            </w:pPr>
            <w:r>
              <w:t xml:space="preserve">Regulatory liaison with the Queensland Health Department, WorkSafe Queensland, and the Department of Energy and Public Works for permit applications and compliance certification</w:t>
            </w:r>
          </w:p>
        </w:tc>
        <w:tc>
          <w:tcPr/>
          <w:p>
            <w:pPr>
              <w:pStyle w:val="Compact"/>
              <w:jc w:val="left"/>
            </w:pPr>
            <w:r>
              <w:t xml:space="preserve">4 days</w:t>
            </w:r>
          </w:p>
        </w:tc>
        <w:tc>
          <w:tcPr/>
          <w:p>
            <w:pPr>
              <w:pStyle w:val="Compact"/>
              <w:jc w:val="left"/>
            </w:pPr>
            <w:r>
              <w:t xml:space="preserve">$1,850/day</w:t>
            </w:r>
          </w:p>
        </w:tc>
        <w:tc>
          <w:tcPr/>
          <w:p>
            <w:pPr>
              <w:pStyle w:val="Compact"/>
              <w:jc w:val="left"/>
            </w:pPr>
            <w:r>
              <w:t xml:space="preserve">$7,400.00</w:t>
            </w:r>
          </w:p>
        </w:tc>
      </w:tr>
      <w:tr>
        <w:tc>
          <w:tcPr>
            <w:gridSpan w:val="4"/>
          </w:tcPr>
          <w:p>
            <w:pPr>
              <w:pStyle w:val="Compact"/>
              <w:jc w:val="left"/>
            </w:pPr>
            <w:r>
              <w:t xml:space="preserve">Subtotal (Professional Services)</w:t>
            </w:r>
          </w:p>
        </w:tc>
        <w:tc>
          <w:tcPr/>
          <w:p>
            <w:pPr>
              <w:pStyle w:val="Compact"/>
              <w:jc w:val="left"/>
            </w:pPr>
            <w:r>
              <w:t xml:space="preserve">$96,200.00</w:t>
            </w:r>
          </w:p>
        </w:tc>
      </w:tr>
      <w:tr>
        <w:tc>
          <w:tcPr>
            <w:gridSpan w:val="4"/>
          </w:tcPr>
          <w:p>
            <w:pPr>
              <w:pStyle w:val="Compact"/>
              <w:jc w:val="left"/>
            </w:pPr>
            <w:r>
              <w:t xml:space="preserve">GST (10%)</w:t>
            </w:r>
          </w:p>
        </w:tc>
        <w:tc>
          <w:tcPr/>
          <w:p>
            <w:pPr>
              <w:pStyle w:val="Compact"/>
              <w:jc w:val="left"/>
            </w:pPr>
            <w:r>
              <w:t xml:space="preserve">$9,620.00</w:t>
            </w:r>
          </w:p>
        </w:tc>
      </w:tr>
      <w:tr>
        <w:tc>
          <w:tcPr>
            <w:gridSpan w:val="4"/>
          </w:tcPr>
          <w:p>
            <w:pPr>
              <w:pStyle w:val="Compact"/>
              <w:jc w:val="left"/>
            </w:pPr>
            <w:r>
              <w:t xml:space="preserve">Total Quotation Estimate (Incl. GST)</w:t>
            </w:r>
          </w:p>
        </w:tc>
        <w:tc>
          <w:tcPr/>
          <w:p>
            <w:pPr>
              <w:pStyle w:val="Compact"/>
              <w:jc w:val="left"/>
            </w:pPr>
            <w:r>
              <w:t xml:space="preserve">$105,820.00</w:t>
            </w:r>
          </w:p>
        </w:tc>
      </w:tr>
    </w:tbl>
    <w:bookmarkEnd w:id="22"/>
    <w:bookmarkStart w:id="23" w:name="project-timeline"/>
    <w:p>
      <w:pPr>
        <w:pStyle w:val="Heading2"/>
      </w:pPr>
      <w:r>
        <w:t xml:space="preserve">3. Project Timeline</w:t>
      </w:r>
    </w:p>
    <w:p>
      <w:pPr>
        <w:pStyle w:val="FirstParagraph"/>
      </w:pPr>
      <w:r>
        <w:t xml:space="preserve">The</w:t>
      </w:r>
      <w:r>
        <w:t xml:space="preserve"> </w:t>
      </w:r>
      <w:r>
        <w:t xml:space="preserve">Chemical Engineer</w:t>
      </w:r>
      <w:r>
        <w:t xml:space="preserve"> </w:t>
      </w:r>
      <w:r>
        <w:t xml:space="preserve">will commence work on 1 July 2025, subject to written acceptance of this</w:t>
      </w:r>
      <w:r>
        <w:t xml:space="preserve"> </w:t>
      </w:r>
      <w:r>
        <w:t xml:space="preserve">Quotation Estimate</w:t>
      </w:r>
      <w:r>
        <w:t xml:space="preserve">. The total project duration is estimated at 52 working days, with a projected completion date of 26 August 2025. All site work will be conducted at the client's premises in</w:t>
      </w:r>
      <w:r>
        <w:t xml:space="preserve"> </w:t>
      </w:r>
      <w:r>
        <w:t xml:space="preserve">Australia Brisbane</w:t>
      </w:r>
      <w:r>
        <w:t xml:space="preserve">, and the engineer will adhere to the site's health and safety management plan in accordance with the Queensland Work Health and Safety Act 2011.</w:t>
      </w:r>
    </w:p>
    <w:bookmarkEnd w:id="23"/>
    <w:bookmarkStart w:id="24" w:name="payment-terms"/>
    <w:p>
      <w:pPr>
        <w:pStyle w:val="Heading2"/>
      </w:pPr>
      <w:r>
        <w:t xml:space="preserve">4. Payment Terms</w:t>
      </w:r>
    </w:p>
    <w:p>
      <w:pPr>
        <w:pStyle w:val="FirstParagraph"/>
      </w:pPr>
      <w:r>
        <w:t xml:space="preserve">Payment shall be made in three instalments as follows: 30% upon execution of the contract and acceptance of this</w:t>
      </w:r>
      <w:r>
        <w:t xml:space="preserve"> </w:t>
      </w:r>
      <w:r>
        <w:t xml:space="preserve">Quotation Estimate</w:t>
      </w:r>
      <w:r>
        <w:t xml:space="preserve">; 40% upon completion of the design and modelling phase (Item 1.2 and 1.3); and 30% upon final handover and commissioning (Item 1.6). All payments are due within 14 calendar days of invoice date. Late payments will attract interest at the rate prescribed under the Queensland Interest on Late Payments of Government Debts Act 2006.</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90 days from the date of issue. After this period, all rates and conditions are subject to review and renegotiation.</w:t>
      </w:r>
    </w:p>
    <w:p>
      <w:pPr>
        <w:numPr>
          <w:ilvl w:val="0"/>
          <w:numId w:val="1001"/>
        </w:numPr>
        <w:pStyle w:val="Compact"/>
      </w:pPr>
      <w:r>
        <w:t xml:space="preserve">The</w:t>
      </w:r>
      <w:r>
        <w:t xml:space="preserve"> </w:t>
      </w:r>
      <w:r>
        <w:t xml:space="preserve">Chemical Engineer</w:t>
      </w:r>
      <w:r>
        <w:t xml:space="preserve"> </w:t>
      </w:r>
      <w:r>
        <w:t xml:space="preserve">holds a valid Practising Engineer (PE) registration with Engineers Australia and is a member of the Institution of Chemical Engineers (IChemE). All professional work will be stamped and certified in accordance with Australian engineering practice.</w:t>
      </w:r>
    </w:p>
    <w:p>
      <w:pPr>
        <w:numPr>
          <w:ilvl w:val="0"/>
          <w:numId w:val="1001"/>
        </w:numPr>
        <w:pStyle w:val="Compact"/>
      </w:pPr>
      <w:r>
        <w:t xml:space="preserve">All services will be performed in strict compliance with the Australian Standards (AS/NZS) series, including AS 1288 (Pressure Vessels), AS 3780 (Pressure Equipment), and AS 3000 (Electrical Installations) where applicable.</w:t>
      </w:r>
    </w:p>
    <w:p>
      <w:pPr>
        <w:numPr>
          <w:ilvl w:val="0"/>
          <w:numId w:val="1001"/>
        </w:numPr>
        <w:pStyle w:val="Compact"/>
      </w:pPr>
      <w:r>
        <w:t xml:space="preserve">The client agrees to provide safe access to all relevant areas of the</w:t>
      </w:r>
      <w:r>
        <w:t xml:space="preserve"> </w:t>
      </w:r>
      <w:r>
        <w:t xml:space="preserve">Australia Brisbane</w:t>
      </w:r>
      <w:r>
        <w:t xml:space="preserve"> </w:t>
      </w:r>
      <w:r>
        <w:t xml:space="preserve">facility, including process control rooms, chemical storage areas, and wastewater treatment infrastructure, during the engagement period.</w:t>
      </w:r>
    </w:p>
    <w:p>
      <w:pPr>
        <w:numPr>
          <w:ilvl w:val="0"/>
          <w:numId w:val="1001"/>
        </w:numPr>
        <w:pStyle w:val="Compact"/>
      </w:pPr>
      <w:r>
        <w:t xml:space="preserve">Any variation to the scope of work beyond 10% of the original</w:t>
      </w:r>
      <w:r>
        <w:t xml:space="preserve"> </w:t>
      </w:r>
      <w:r>
        <w:t xml:space="preserve">Quotation Estimate</w:t>
      </w:r>
      <w:r>
        <w:t xml:space="preserve"> </w:t>
      </w:r>
      <w:r>
        <w:t xml:space="preserve">value will require a written variation order signed by both parties before additional work commences.</w:t>
      </w:r>
    </w:p>
    <w:p>
      <w:pPr>
        <w:numPr>
          <w:ilvl w:val="0"/>
          <w:numId w:val="1001"/>
        </w:numPr>
        <w:pStyle w:val="Compact"/>
      </w:pPr>
      <w:r>
        <w:t xml:space="preserve">Intellectual property, including all process designs, calculations, and reports produced under this engagement, shall remain the property of the client upon full payment. The</w:t>
      </w:r>
      <w:r>
        <w:t xml:space="preserve"> </w:t>
      </w:r>
      <w:r>
        <w:t xml:space="preserve">Chemical Engineer</w:t>
      </w:r>
      <w:r>
        <w:t xml:space="preserve"> </w:t>
      </w:r>
      <w:r>
        <w:t xml:space="preserve">retains the right to reference the project in professional portfolios with the client's written consent.</w:t>
      </w:r>
    </w:p>
    <w:p>
      <w:pPr>
        <w:numPr>
          <w:ilvl w:val="0"/>
          <w:numId w:val="1001"/>
        </w:numPr>
        <w:pStyle w:val="Compact"/>
      </w:pPr>
      <w:r>
        <w:t xml:space="preserve">Disputes arising from this engagement shall be resolved in accordance with the Queensland Civil and Administrative Tribunal (QCAT) procedures or, where the amount exceeds the QCAT jurisdictional limit, in the Supreme Court of Queensland, Brisbane.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Services Agreement is executed by both parties.</w:t>
      </w:r>
    </w:p>
    <w:bookmarkEnd w:id="25"/>
    <w:bookmarkStart w:id="26" w:name="acceptance-and-authorisation"/>
    <w:p>
      <w:pPr>
        <w:pStyle w:val="Heading2"/>
      </w:pPr>
      <w:r>
        <w:t xml:space="preserve">6.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professional fees outlined herein for the engagement of the</w:t>
      </w:r>
      <w:r>
        <w:t xml:space="preserve"> </w:t>
      </w:r>
      <w:r>
        <w:t xml:space="preserve">Chemical Engineer</w:t>
      </w:r>
      <w:r>
        <w:t xml:space="preserve"> </w:t>
      </w:r>
      <w:r>
        <w:t xml:space="preserve">at the specified location in</w:t>
      </w:r>
      <w:r>
        <w:t xml:space="preserve"> </w:t>
      </w:r>
      <w:r>
        <w:t xml:space="preserve">Australia Brisbane</w:t>
      </w:r>
      <w:r>
        <w:t xml:space="preserve">.</w:t>
      </w:r>
    </w:p>
    <w:p>
      <w:pPr>
        <w:pStyle w:val="BodyText"/>
      </w:pPr>
      <w:r>
        <w:rPr>
          <w:bCs/>
          <w:b/>
        </w:rPr>
        <w:t xml:space="preserve">For and on behalf of Chen &amp; Associates Engineering Solutions Pty Ltd</w:t>
      </w:r>
      <w:r>
        <w:br/>
      </w:r>
      <w:r>
        <w:t xml:space="preserve">Name: Dr. Margaret Chen</w:t>
      </w:r>
      <w:r>
        <w:br/>
      </w:r>
      <w:r>
        <w:t xml:space="preserve">Title: Principal Chemical Engineer</w:t>
      </w:r>
      <w:r>
        <w:br/>
      </w:r>
      <w:r>
        <w:t xml:space="preserve">Signature: _________________________</w:t>
      </w:r>
      <w:r>
        <w:br/>
      </w:r>
      <w:r>
        <w:t xml:space="preserve">Date: _________________________</w:t>
      </w:r>
    </w:p>
    <w:p>
      <w:pPr>
        <w:pStyle w:val="BodyText"/>
      </w:pPr>
      <w:r>
        <w:rPr>
          <w:bCs/>
          <w:b/>
        </w:rPr>
        <w:t xml:space="preserve">For and on behalf of Queensland Industrial Processing Group (QIPG)</w:t>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Chen &amp; Associates Engineering Solutions Pty Ltd | ABN 47 123 456 789 | ACN 654 321 987</w:t>
      </w:r>
    </w:p>
    <w:p>
      <w:pPr>
        <w:pStyle w:val="BodyText"/>
      </w:pPr>
      <w:r>
        <w:t xml:space="preserve">Suite 420, Level 4, 120 Creek Street, Brisbane, Queensland 4000, Australia</w:t>
      </w:r>
    </w:p>
    <w:p>
      <w:pPr>
        <w:pStyle w:val="BodyText"/>
      </w:pPr>
      <w:r>
        <w:t xml:space="preserve">Phone: +61 7 3210 4567 | Email: enquiries@chenassociates.com.au</w:t>
      </w:r>
    </w:p>
    <w:p>
      <w:pPr>
        <w:pStyle w:val="BodyText"/>
      </w:pPr>
      <w:r>
        <w:t xml:space="preserve">This Quotation Estimate document is the property of Chen &amp; Associates Engineering Solutions Pty Ltd and is intended solely for the use of the named client.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Chemical Engineer Services - Australia Brisbane</dc:title>
  <dc:creator/>
  <dc:language>en</dc:language>
  <cp:keywords/>
  <dcterms:created xsi:type="dcterms:W3CDTF">2026-10-10T01:06:32Z</dcterms:created>
  <dcterms:modified xsi:type="dcterms:W3CDTF">2026-10-10T01:06:32Z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