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rPr>
          <w:bCs/>
          <w:b/>
        </w:rPr>
        <w:t xml:space="preserve">BelgoChem Engineering Solutions S.A.</w:t>
      </w:r>
    </w:p>
    <w:p>
      <w:pPr>
        <w:pStyle w:val="BodyText"/>
      </w:pPr>
      <w:r>
        <w:t xml:space="preserve">12 Avenue Louise, 1050 Brussels, Belgium</w:t>
      </w:r>
    </w:p>
    <w:p>
      <w:pPr>
        <w:pStyle w:val="BodyText"/>
      </w:pPr>
      <w:r>
        <w:t xml:space="preserve">VAT No: BE 0765.432.109 | Tel: +32 2 555 0147 | Email: quotations@belgochem.be</w:t>
      </w:r>
    </w:p>
    <w:bookmarkEnd w:id="20"/>
    <w:p>
      <w:pPr>
        <w:pStyle w:val="BodyText"/>
      </w:pPr>
      <w:r>
        <w:rPr>
          <w:bCs/>
          <w:b/>
        </w:rPr>
        <w:t xml:space="preserve">Quotation No:</w:t>
      </w:r>
      <w:r>
        <w:t xml:space="preserve"> </w:t>
      </w:r>
      <w:r>
        <w:t xml:space="preserve">QTE-2025-BRU-0487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Reference:</w:t>
      </w:r>
      <w:r>
        <w:t xml:space="preserve"> </w:t>
      </w:r>
      <w:r>
        <w:t xml:space="preserve">CHE-BRU-2025-0487</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PharmaNova Industries N.V.</w:t>
            </w:r>
          </w:p>
        </w:tc>
      </w:tr>
      <w:tr>
        <w:tc>
          <w:tcPr/>
          <w:p>
            <w:pPr>
              <w:pStyle w:val="Compact"/>
              <w:jc w:val="left"/>
            </w:pPr>
            <w:r>
              <w:rPr>
                <w:bCs/>
                <w:b/>
              </w:rPr>
              <w:t xml:space="preserve">Address:</w:t>
            </w:r>
          </w:p>
        </w:tc>
        <w:tc>
          <w:tcPr/>
          <w:p>
            <w:pPr>
              <w:pStyle w:val="Compact"/>
              <w:jc w:val="left"/>
            </w:pPr>
            <w:r>
              <w:t xml:space="preserve">45 Rue de la Loi, 1040 Brussels, Belgium</w:t>
            </w:r>
          </w:p>
        </w:tc>
      </w:tr>
      <w:tr>
        <w:tc>
          <w:tcPr/>
          <w:p>
            <w:pPr>
              <w:pStyle w:val="Compact"/>
              <w:jc w:val="left"/>
            </w:pPr>
            <w:r>
              <w:rPr>
                <w:bCs/>
                <w:b/>
              </w:rPr>
              <w:t xml:space="preserve">Contact Person:</w:t>
            </w:r>
          </w:p>
        </w:tc>
        <w:tc>
          <w:tcPr/>
          <w:p>
            <w:pPr>
              <w:pStyle w:val="Compact"/>
              <w:jc w:val="left"/>
            </w:pPr>
            <w:r>
              <w:t xml:space="preserve">Dr. Marie Van den Berg, Director of Operations</w:t>
            </w:r>
          </w:p>
        </w:tc>
      </w:tr>
      <w:tr>
        <w:tc>
          <w:tcPr/>
          <w:p>
            <w:pPr>
              <w:pStyle w:val="Compact"/>
              <w:jc w:val="left"/>
            </w:pPr>
            <w:r>
              <w:rPr>
                <w:bCs/>
                <w:b/>
              </w:rPr>
              <w:t xml:space="preserve">Email:</w:t>
            </w:r>
          </w:p>
        </w:tc>
        <w:tc>
          <w:tcPr/>
          <w:p>
            <w:pPr>
              <w:pStyle w:val="Compact"/>
              <w:jc w:val="left"/>
            </w:pPr>
            <w:r>
              <w:t xml:space="preserve">m.vandenbergh@pharmanova.be</w:t>
            </w:r>
          </w:p>
        </w:tc>
      </w:tr>
      <w:tr>
        <w:tc>
          <w:tcPr/>
          <w:p>
            <w:pPr>
              <w:pStyle w:val="Compact"/>
              <w:jc w:val="left"/>
            </w:pPr>
            <w:r>
              <w:rPr>
                <w:bCs/>
                <w:b/>
              </w:rPr>
              <w:t xml:space="preserve">Project Location:</w:t>
            </w:r>
          </w:p>
        </w:tc>
        <w:tc>
          <w:tcPr/>
          <w:p>
            <w:pPr>
              <w:pStyle w:val="Compact"/>
              <w:jc w:val="left"/>
            </w:pPr>
            <w:r>
              <w:t xml:space="preserve">Industrial Zone, 1070 Anderlecht, Belgium Brussels Metropolitan Area</w:t>
            </w:r>
          </w:p>
        </w:tc>
      </w:tr>
    </w:tbl>
    <w:bookmarkEnd w:id="21"/>
    <w:bookmarkStart w:id="22" w:name="X63f9665fa6964abe6943011ef167d63118d6517"/>
    <w:p>
      <w:pPr>
        <w:pStyle w:val="Heading2"/>
      </w:pPr>
      <w:r>
        <w:t xml:space="preserve">2. Scope of Services – Chemical Engineer Consultancy</w:t>
      </w:r>
    </w:p>
    <w:p>
      <w:pPr>
        <w:pStyle w:val="FirstParagraph"/>
      </w:pPr>
      <w:r>
        <w:t xml:space="preserve">This</w:t>
      </w:r>
      <w:r>
        <w:t xml:space="preserve"> </w:t>
      </w:r>
      <w:r>
        <w:t xml:space="preserve">Quotation Estimate</w:t>
      </w:r>
      <w:r>
        <w:t xml:space="preserve"> </w:t>
      </w:r>
      <w:r>
        <w:t xml:space="preserve">is issued by BelgoChem Engineering Solutions S.A. to PharmaNova Industries N.V. for the provision of specialized</w:t>
      </w:r>
      <w:r>
        <w:t xml:space="preserve"> </w:t>
      </w:r>
      <w:r>
        <w:t xml:space="preserve">Chemical Engineer</w:t>
      </w:r>
      <w:r>
        <w:t xml:space="preserve"> </w:t>
      </w:r>
      <w:r>
        <w:t xml:space="preserve">consultancy and process design services to be executed within the</w:t>
      </w:r>
      <w:r>
        <w:t xml:space="preserve"> </w:t>
      </w:r>
      <w:r>
        <w:t xml:space="preserve">Belgium Brussels</w:t>
      </w:r>
      <w:r>
        <w:t xml:space="preserve"> </w:t>
      </w:r>
      <w:r>
        <w:t xml:space="preserve">metropolitan region. The scope encompasses the full lifecycle of a new pharmaceutical process unit, from initial feasibility assessment through to commissioning support, in strict compliance with Belgian and European regulatory frameworks.</w:t>
      </w:r>
    </w:p>
    <w:p>
      <w:pPr>
        <w:pStyle w:val="BodyText"/>
      </w:pPr>
      <w:r>
        <w:t xml:space="preserve">Our senior</w:t>
      </w:r>
      <w:r>
        <w:t xml:space="preserve"> </w:t>
      </w:r>
      <w:r>
        <w:t xml:space="preserve">Chemical Engineer</w:t>
      </w:r>
      <w:r>
        <w:t xml:space="preserve"> </w:t>
      </w:r>
      <w:r>
        <w:t xml:space="preserve">team, comprising licensed professionals registered with the Belgian Order of Engineers and Architects (Ordre des Ingénieurs-Conseils), will deliver the following services at the designated facility in</w:t>
      </w:r>
      <w:r>
        <w:t xml:space="preserve"> </w:t>
      </w:r>
      <w:r>
        <w:t xml:space="preserve">Belgium Brussels</w:t>
      </w:r>
      <w:r>
        <w:t xml:space="preserve">:</w:t>
      </w:r>
    </w:p>
    <w:p>
      <w:pPr>
        <w:numPr>
          <w:ilvl w:val="0"/>
          <w:numId w:val="1001"/>
        </w:numPr>
        <w:pStyle w:val="Compact"/>
      </w:pPr>
      <w:r>
        <w:t xml:space="preserve">Process flow diagram (PFD) and piping and instrumentation diagram (P&amp;ID) development for a 500 L continuous stirred-tank reactor system.</w:t>
      </w:r>
    </w:p>
    <w:p>
      <w:pPr>
        <w:numPr>
          <w:ilvl w:val="0"/>
          <w:numId w:val="1001"/>
        </w:numPr>
        <w:pStyle w:val="Compact"/>
      </w:pPr>
      <w:r>
        <w:t xml:space="preserve">Thermal and mass balance calculations, including energy recovery optimization for the solvent recovery column.</w:t>
      </w:r>
    </w:p>
    <w:p>
      <w:pPr>
        <w:numPr>
          <w:ilvl w:val="0"/>
          <w:numId w:val="1001"/>
        </w:numPr>
        <w:pStyle w:val="Compact"/>
      </w:pPr>
      <w:r>
        <w:t xml:space="preserve">Material selection and corrosion assessment compliant with EU REACH regulations and Belgian chemical safety directives.</w:t>
      </w:r>
    </w:p>
    <w:p>
      <w:pPr>
        <w:numPr>
          <w:ilvl w:val="0"/>
          <w:numId w:val="1001"/>
        </w:numPr>
        <w:pStyle w:val="Compact"/>
      </w:pPr>
      <w:r>
        <w:t xml:space="preserve">Process safety analysis (HAZOP) and risk assessment in accordance with the Seveso III Directive as transposed into Belgian law.</w:t>
      </w:r>
    </w:p>
    <w:p>
      <w:pPr>
        <w:numPr>
          <w:ilvl w:val="0"/>
          <w:numId w:val="1001"/>
        </w:numPr>
        <w:pStyle w:val="Compact"/>
      </w:pPr>
      <w:r>
        <w:t xml:space="preserve">Control system architecture design and integration specifications for the DCS/PLC environment.</w:t>
      </w:r>
    </w:p>
    <w:p>
      <w:pPr>
        <w:numPr>
          <w:ilvl w:val="0"/>
          <w:numId w:val="1001"/>
        </w:numPr>
        <w:pStyle w:val="Compact"/>
      </w:pPr>
      <w:r>
        <w:t xml:space="preserve">Commissioning support, performance testing, and operator training delivery on-site in</w:t>
      </w:r>
      <w:r>
        <w:t xml:space="preserve"> </w:t>
      </w:r>
      <w:r>
        <w:t xml:space="preserve">Belgium Brussels</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Feasibility study and preliminary process design by lead Chemical Engineer</w:t>
            </w:r>
          </w:p>
        </w:tc>
        <w:tc>
          <w:tcPr/>
          <w:p>
            <w:pPr>
              <w:pStyle w:val="Compact"/>
              <w:jc w:val="left"/>
            </w:pPr>
            <w:r>
              <w:t xml:space="preserve">3 weeks</w:t>
            </w:r>
          </w:p>
        </w:tc>
        <w:tc>
          <w:tcPr/>
          <w:p>
            <w:pPr>
              <w:pStyle w:val="Compact"/>
              <w:jc w:val="left"/>
            </w:pPr>
            <w:r>
              <w:t xml:space="preserve">1,250 / day</w:t>
            </w:r>
          </w:p>
        </w:tc>
        <w:tc>
          <w:tcPr/>
          <w:p>
            <w:pPr>
              <w:pStyle w:val="Compact"/>
              <w:jc w:val="left"/>
            </w:pPr>
            <w:r>
              <w:t xml:space="preserve">15,000.00</w:t>
            </w:r>
          </w:p>
        </w:tc>
      </w:tr>
      <w:tr>
        <w:tc>
          <w:tcPr/>
          <w:p>
            <w:pPr>
              <w:pStyle w:val="Compact"/>
              <w:jc w:val="left"/>
            </w:pPr>
            <w:r>
              <w:t xml:space="preserve">02</w:t>
            </w:r>
          </w:p>
        </w:tc>
        <w:tc>
          <w:tcPr/>
          <w:p>
            <w:pPr>
              <w:pStyle w:val="Compact"/>
              <w:jc w:val="left"/>
            </w:pPr>
            <w:r>
              <w:t xml:space="preserve">Detailed PFD, P&amp;ID, and hydraulic calculations</w:t>
            </w:r>
          </w:p>
        </w:tc>
        <w:tc>
          <w:tcPr/>
          <w:p>
            <w:pPr>
              <w:pStyle w:val="Compact"/>
              <w:jc w:val="left"/>
            </w:pPr>
            <w:r>
              <w:t xml:space="preserve">4 weeks</w:t>
            </w:r>
          </w:p>
        </w:tc>
        <w:tc>
          <w:tcPr/>
          <w:p>
            <w:pPr>
              <w:pStyle w:val="Compact"/>
              <w:jc w:val="left"/>
            </w:pPr>
            <w:r>
              <w:t xml:space="preserve">1,100 / day</w:t>
            </w:r>
          </w:p>
        </w:tc>
        <w:tc>
          <w:tcPr/>
          <w:p>
            <w:pPr>
              <w:pStyle w:val="Compact"/>
              <w:jc w:val="left"/>
            </w:pPr>
            <w:r>
              <w:t xml:space="preserve">17,600.00</w:t>
            </w:r>
          </w:p>
        </w:tc>
      </w:tr>
      <w:tr>
        <w:tc>
          <w:tcPr/>
          <w:p>
            <w:pPr>
              <w:pStyle w:val="Compact"/>
              <w:jc w:val="left"/>
            </w:pPr>
            <w:r>
              <w:t xml:space="preserve">03</w:t>
            </w:r>
          </w:p>
        </w:tc>
        <w:tc>
          <w:tcPr/>
          <w:p>
            <w:pPr>
              <w:pStyle w:val="Compact"/>
              <w:jc w:val="left"/>
            </w:pPr>
            <w:r>
              <w:t xml:space="preserve">Thermal design, energy balance, and heat exchanger sizing</w:t>
            </w:r>
          </w:p>
        </w:tc>
        <w:tc>
          <w:tcPr/>
          <w:p>
            <w:pPr>
              <w:pStyle w:val="Compact"/>
              <w:jc w:val="left"/>
            </w:pPr>
            <w:r>
              <w:t xml:space="preserve">3 weeks</w:t>
            </w:r>
          </w:p>
        </w:tc>
        <w:tc>
          <w:tcPr/>
          <w:p>
            <w:pPr>
              <w:pStyle w:val="Compact"/>
              <w:jc w:val="left"/>
            </w:pPr>
            <w:r>
              <w:t xml:space="preserve">1,100 / day</w:t>
            </w:r>
          </w:p>
        </w:tc>
        <w:tc>
          <w:tcPr/>
          <w:p>
            <w:pPr>
              <w:pStyle w:val="Compact"/>
              <w:jc w:val="left"/>
            </w:pPr>
            <w:r>
              <w:t xml:space="preserve">13,200.00</w:t>
            </w:r>
          </w:p>
        </w:tc>
      </w:tr>
      <w:tr>
        <w:tc>
          <w:tcPr/>
          <w:p>
            <w:pPr>
              <w:pStyle w:val="Compact"/>
              <w:jc w:val="left"/>
            </w:pPr>
            <w:r>
              <w:t xml:space="preserve">04</w:t>
            </w:r>
          </w:p>
        </w:tc>
        <w:tc>
          <w:tcPr/>
          <w:p>
            <w:pPr>
              <w:pStyle w:val="Compact"/>
              <w:jc w:val="left"/>
            </w:pPr>
            <w:r>
              <w:t xml:space="preserve">HAZOP study, SIL assessment, and safety documentation</w:t>
            </w:r>
          </w:p>
        </w:tc>
        <w:tc>
          <w:tcPr/>
          <w:p>
            <w:pPr>
              <w:pStyle w:val="Compact"/>
              <w:jc w:val="left"/>
            </w:pPr>
            <w:r>
              <w:t xml:space="preserve">2 weeks</w:t>
            </w:r>
          </w:p>
        </w:tc>
        <w:tc>
          <w:tcPr/>
          <w:p>
            <w:pPr>
              <w:pStyle w:val="Compact"/>
              <w:jc w:val="left"/>
            </w:pPr>
            <w:r>
              <w:t xml:space="preserve">1,350 / day</w:t>
            </w:r>
          </w:p>
        </w:tc>
        <w:tc>
          <w:tcPr/>
          <w:p>
            <w:pPr>
              <w:pStyle w:val="Compact"/>
              <w:jc w:val="left"/>
            </w:pPr>
            <w:r>
              <w:t xml:space="preserve">10,800.00</w:t>
            </w:r>
          </w:p>
        </w:tc>
      </w:tr>
      <w:tr>
        <w:tc>
          <w:tcPr/>
          <w:p>
            <w:pPr>
              <w:pStyle w:val="Compact"/>
              <w:jc w:val="left"/>
            </w:pPr>
            <w:r>
              <w:t xml:space="preserve">05</w:t>
            </w:r>
          </w:p>
        </w:tc>
        <w:tc>
          <w:tcPr/>
          <w:p>
            <w:pPr>
              <w:pStyle w:val="Compact"/>
              <w:jc w:val="left"/>
            </w:pPr>
            <w:r>
              <w:t xml:space="preserve">Control system design and instrumentation specification</w:t>
            </w:r>
          </w:p>
        </w:tc>
        <w:tc>
          <w:tcPr/>
          <w:p>
            <w:pPr>
              <w:pStyle w:val="Compact"/>
              <w:jc w:val="left"/>
            </w:pPr>
            <w:r>
              <w:t xml:space="preserve">3 weeks</w:t>
            </w:r>
          </w:p>
        </w:tc>
        <w:tc>
          <w:tcPr/>
          <w:p>
            <w:pPr>
              <w:pStyle w:val="Compact"/>
              <w:jc w:val="left"/>
            </w:pPr>
            <w:r>
              <w:t xml:space="preserve">1,100 / day</w:t>
            </w:r>
          </w:p>
        </w:tc>
        <w:tc>
          <w:tcPr/>
          <w:p>
            <w:pPr>
              <w:pStyle w:val="Compact"/>
              <w:jc w:val="left"/>
            </w:pPr>
            <w:r>
              <w:t xml:space="preserve">13,200.00</w:t>
            </w:r>
          </w:p>
        </w:tc>
      </w:tr>
      <w:tr>
        <w:tc>
          <w:tcPr/>
          <w:p>
            <w:pPr>
              <w:pStyle w:val="Compact"/>
              <w:jc w:val="left"/>
            </w:pPr>
            <w:r>
              <w:t xml:space="preserve">06</w:t>
            </w:r>
          </w:p>
        </w:tc>
        <w:tc>
          <w:tcPr/>
          <w:p>
            <w:pPr>
              <w:pStyle w:val="Compact"/>
              <w:jc w:val="left"/>
            </w:pPr>
            <w:r>
              <w:t xml:space="preserve">On-site commissioning support and performance verification in Belgium Brussels</w:t>
            </w:r>
          </w:p>
        </w:tc>
        <w:tc>
          <w:tcPr/>
          <w:p>
            <w:pPr>
              <w:pStyle w:val="Compact"/>
              <w:jc w:val="left"/>
            </w:pPr>
            <w:r>
              <w:t xml:space="preserve">2 weeks</w:t>
            </w:r>
          </w:p>
        </w:tc>
        <w:tc>
          <w:tcPr/>
          <w:p>
            <w:pPr>
              <w:pStyle w:val="Compact"/>
              <w:jc w:val="left"/>
            </w:pPr>
            <w:r>
              <w:t xml:space="preserve">1,400 / day</w:t>
            </w:r>
          </w:p>
        </w:tc>
        <w:tc>
          <w:tcPr/>
          <w:p>
            <w:pPr>
              <w:pStyle w:val="Compact"/>
              <w:jc w:val="left"/>
            </w:pPr>
            <w:r>
              <w:t xml:space="preserve">14,000.00</w:t>
            </w:r>
          </w:p>
        </w:tc>
      </w:tr>
      <w:tr>
        <w:tc>
          <w:tcPr/>
          <w:p>
            <w:pPr>
              <w:pStyle w:val="Compact"/>
              <w:jc w:val="left"/>
            </w:pPr>
            <w:r>
              <w:t xml:space="preserve">07</w:t>
            </w:r>
          </w:p>
        </w:tc>
        <w:tc>
          <w:tcPr/>
          <w:p>
            <w:pPr>
              <w:pStyle w:val="Compact"/>
              <w:jc w:val="left"/>
            </w:pPr>
            <w:r>
              <w:t xml:space="preserve">Operator training programme (4 sessions, 8 hours each)</w:t>
            </w:r>
          </w:p>
        </w:tc>
        <w:tc>
          <w:tcPr/>
          <w:p>
            <w:pPr>
              <w:pStyle w:val="Compact"/>
              <w:jc w:val="left"/>
            </w:pPr>
            <w:r>
              <w:t xml:space="preserve">1 week</w:t>
            </w:r>
          </w:p>
        </w:tc>
        <w:tc>
          <w:tcPr/>
          <w:p>
            <w:pPr>
              <w:pStyle w:val="Compact"/>
              <w:jc w:val="left"/>
            </w:pPr>
            <w:r>
              <w:t xml:space="preserve">950 / day</w:t>
            </w:r>
          </w:p>
        </w:tc>
        <w:tc>
          <w:tcPr/>
          <w:p>
            <w:pPr>
              <w:pStyle w:val="Compact"/>
              <w:jc w:val="left"/>
            </w:pPr>
            <w:r>
              <w:t xml:space="preserve">3,800.00</w:t>
            </w:r>
          </w:p>
        </w:tc>
      </w:tr>
      <w:tr>
        <w:tc>
          <w:tcPr/>
          <w:p>
            <w:pPr>
              <w:pStyle w:val="Compact"/>
              <w:jc w:val="left"/>
            </w:pPr>
            <w:r>
              <w:t xml:space="preserve">08</w:t>
            </w:r>
          </w:p>
        </w:tc>
        <w:tc>
          <w:tcPr/>
          <w:p>
            <w:pPr>
              <w:pStyle w:val="Compact"/>
              <w:jc w:val="left"/>
            </w:pPr>
            <w:r>
              <w:t xml:space="preserve">Travel, accommodation, and local transport within Belgium Brussels region</w:t>
            </w:r>
          </w:p>
        </w:tc>
        <w:tc>
          <w:tcPr/>
          <w:p>
            <w:pPr>
              <w:pStyle w:val="Compact"/>
              <w:jc w:val="left"/>
            </w:pPr>
            <w:r>
              <w:t xml:space="preserve">18 weeks</w:t>
            </w:r>
          </w:p>
        </w:tc>
        <w:tc>
          <w:tcPr/>
          <w:p>
            <w:pPr>
              <w:pStyle w:val="Compact"/>
              <w:jc w:val="left"/>
            </w:pPr>
            <w:r>
              <w:t xml:space="preserve">—</w:t>
            </w:r>
          </w:p>
        </w:tc>
        <w:tc>
          <w:tcPr/>
          <w:p>
            <w:pPr>
              <w:pStyle w:val="Compact"/>
              <w:jc w:val="left"/>
            </w:pPr>
            <w:r>
              <w:t xml:space="preserve">4,500.00</w:t>
            </w:r>
          </w:p>
        </w:tc>
      </w:tr>
      <w:tr>
        <w:tc>
          <w:tcPr/>
          <w:p>
            <w:pPr>
              <w:pStyle w:val="Compact"/>
              <w:jc w:val="left"/>
            </w:pPr>
            <w:r>
              <w:t xml:space="preserve">09</w:t>
            </w:r>
          </w:p>
        </w:tc>
        <w:tc>
          <w:tcPr/>
          <w:p>
            <w:pPr>
              <w:pStyle w:val="Compact"/>
              <w:jc w:val="left"/>
            </w:pPr>
            <w:r>
              <w:t xml:space="preserve">Software licences (Aspen Plus, HYSYS) and engineering tools</w:t>
            </w:r>
          </w:p>
        </w:tc>
        <w:tc>
          <w:tcPr/>
          <w:p>
            <w:pPr>
              <w:pStyle w:val="Compact"/>
              <w:jc w:val="left"/>
            </w:pPr>
            <w:r>
              <w:t xml:space="preserve">18 weeks</w:t>
            </w:r>
          </w:p>
        </w:tc>
        <w:tc>
          <w:tcPr/>
          <w:p>
            <w:pPr>
              <w:pStyle w:val="Compact"/>
              <w:jc w:val="left"/>
            </w:pPr>
            <w:r>
              <w:t xml:space="preserve">—</w:t>
            </w:r>
          </w:p>
        </w:tc>
        <w:tc>
          <w:tcPr/>
          <w:p>
            <w:pPr>
              <w:pStyle w:val="Compact"/>
              <w:jc w:val="left"/>
            </w:pPr>
            <w:r>
              <w:t xml:space="preserve">3,200.00</w:t>
            </w:r>
          </w:p>
        </w:tc>
      </w:tr>
      <w:tr>
        <w:tc>
          <w:tcPr>
            <w:gridSpan w:val="4"/>
          </w:tcPr>
          <w:p>
            <w:pPr>
              <w:pStyle w:val="Compact"/>
              <w:jc w:val="left"/>
            </w:pPr>
            <w:r>
              <w:t xml:space="preserve">Subtotal (excl. VAT)</w:t>
            </w:r>
          </w:p>
        </w:tc>
        <w:tc>
          <w:tcPr/>
          <w:p>
            <w:pPr>
              <w:pStyle w:val="Compact"/>
              <w:jc w:val="left"/>
            </w:pPr>
            <w:r>
              <w:t xml:space="preserve">95,300.00</w:t>
            </w:r>
          </w:p>
        </w:tc>
      </w:tr>
      <w:tr>
        <w:tc>
          <w:tcPr>
            <w:gridSpan w:val="4"/>
          </w:tcPr>
          <w:p>
            <w:pPr>
              <w:pStyle w:val="Compact"/>
              <w:jc w:val="left"/>
            </w:pPr>
            <w:r>
              <w:t xml:space="preserve">VAT (21% – Belgian standard rate)</w:t>
            </w:r>
          </w:p>
        </w:tc>
        <w:tc>
          <w:tcPr/>
          <w:p>
            <w:pPr>
              <w:pStyle w:val="Compact"/>
              <w:jc w:val="left"/>
            </w:pPr>
            <w:r>
              <w:t xml:space="preserve">19,993.00</w:t>
            </w:r>
          </w:p>
        </w:tc>
      </w:tr>
      <w:tr>
        <w:tc>
          <w:tcPr>
            <w:gridSpan w:val="4"/>
          </w:tcPr>
          <w:p>
            <w:pPr>
              <w:pStyle w:val="Compact"/>
              <w:jc w:val="left"/>
            </w:pPr>
            <w:r>
              <w:rPr>
                <w:bCs/>
                <w:b/>
              </w:rPr>
              <w:t xml:space="preserve">TOTAL AMOUNT DUE (EUR)</w:t>
            </w:r>
          </w:p>
        </w:tc>
        <w:tc>
          <w:tcPr/>
          <w:p>
            <w:pPr>
              <w:pStyle w:val="Compact"/>
              <w:jc w:val="left"/>
            </w:pPr>
            <w:r>
              <w:rPr>
                <w:bCs/>
                <w:b/>
              </w:rPr>
              <w:t xml:space="preserve">115,293.00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three instalments: 30% upon contract signature, 40% upon completion of detailed design deliverables (Items 01–05), and 30% upon successful commissioning and handover. All payments are due within 30 calendar days of invoice date. Invoices will be issued in EUR and are payable by bank transfer to the account of BelgoChem Engineering Solutions S.A. at BNP Paribas Fortis, Brussels, Belgium (IBAN: BE68 5230 1234 5678).</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90 calendar days from the date of issue. Beyond this period, rates and availability of the</w:t>
      </w:r>
      <w:r>
        <w:t xml:space="preserve"> </w:t>
      </w:r>
      <w:r>
        <w:t xml:space="preserve">Chemical Engineer</w:t>
      </w:r>
      <w:r>
        <w:t xml:space="preserve"> </w:t>
      </w:r>
      <w:r>
        <w:t xml:space="preserve">team are subject to revision.</w:t>
      </w:r>
    </w:p>
    <w:p>
      <w:pPr>
        <w:numPr>
          <w:ilvl w:val="0"/>
          <w:numId w:val="1002"/>
        </w:numPr>
        <w:pStyle w:val="Compact"/>
      </w:pPr>
      <w:r>
        <w:t xml:space="preserve">All work shall be performed in accordance with Belgian law, the European Union directives applicable to chemical and pharmaceutical process industries, and the specific regulations of the Brussels-Capital Region.</w:t>
      </w:r>
    </w:p>
    <w:p>
      <w:pPr>
        <w:numPr>
          <w:ilvl w:val="0"/>
          <w:numId w:val="1002"/>
        </w:numPr>
        <w:pStyle w:val="Compact"/>
      </w:pPr>
      <w:r>
        <w:t xml:space="preserve">The</w:t>
      </w:r>
      <w:r>
        <w:t xml:space="preserve"> </w:t>
      </w:r>
      <w:r>
        <w:t xml:space="preserve">Chemical Engineer</w:t>
      </w:r>
      <w:r>
        <w:t xml:space="preserve"> </w:t>
      </w:r>
      <w:r>
        <w:t xml:space="preserve">personnel assigned to this project shall hold valid professional registration and carry professional indemnity insurance with a minimum coverage of EUR 5,000,000.</w:t>
      </w:r>
    </w:p>
    <w:p>
      <w:pPr>
        <w:numPr>
          <w:ilvl w:val="0"/>
          <w:numId w:val="1002"/>
        </w:numPr>
        <w:pStyle w:val="Compact"/>
      </w:pPr>
      <w:r>
        <w:t xml:space="preserve">Any changes to the scope of work must be agreed in writing by both parties. Additional work will be billed at the rates specified in this</w:t>
      </w:r>
      <w:r>
        <w:t xml:space="preserve"> </w:t>
      </w:r>
      <w:r>
        <w:t xml:space="preserve">Quotation Estimate</w:t>
      </w:r>
      <w:r>
        <w:t xml:space="preserve"> </w:t>
      </w:r>
      <w:r>
        <w:t xml:space="preserve">or at mutually agreed rates.</w:t>
      </w:r>
    </w:p>
    <w:p>
      <w:pPr>
        <w:numPr>
          <w:ilvl w:val="0"/>
          <w:numId w:val="1002"/>
        </w:numPr>
        <w:pStyle w:val="Compact"/>
      </w:pPr>
      <w:r>
        <w:t xml:space="preserve">Intellectual property in all design documents, calculations, and reports produced under this engagement shall vest in the client upon full payment.</w:t>
      </w:r>
    </w:p>
    <w:p>
      <w:pPr>
        <w:numPr>
          <w:ilvl w:val="0"/>
          <w:numId w:val="1002"/>
        </w:numPr>
        <w:pStyle w:val="Compact"/>
      </w:pPr>
      <w:r>
        <w:t xml:space="preserve">Confidentiality obligations shall survive termination of the contract for a period of five (5) years.</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by the competent courts of Brussels, Belgium.</w:t>
      </w:r>
    </w:p>
    <w:p>
      <w:pPr>
        <w:numPr>
          <w:ilvl w:val="0"/>
          <w:numId w:val="1002"/>
        </w:numPr>
        <w:pStyle w:val="Compact"/>
      </w:pPr>
      <w:r>
        <w:t xml:space="preserve">Force majeure events, including but not limited to natural disasters, pandemics, or government-mandated shutdowns in</w:t>
      </w:r>
      <w:r>
        <w:t xml:space="preserve"> </w:t>
      </w:r>
      <w:r>
        <w:t xml:space="preserve">Belgium Brussels</w:t>
      </w:r>
      <w:r>
        <w:t xml:space="preserve">, shall suspend performance obligations without penalty to either party.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BelgoChem Engineering Solutions S.A. to proceed with the engagement of the</w:t>
      </w:r>
      <w:r>
        <w:t xml:space="preserve"> </w:t>
      </w:r>
      <w:r>
        <w:t xml:space="preserve">Chemical Engineer</w:t>
      </w:r>
      <w:r>
        <w:t xml:space="preserve"> </w:t>
      </w:r>
      <w:r>
        <w:t xml:space="preserve">team for the services described herein, to be delivered at the project site in</w:t>
      </w:r>
      <w:r>
        <w:t xml:space="preserve"> </w:t>
      </w:r>
      <w:r>
        <w:t xml:space="preserve">Belgium Brussels</w:t>
      </w:r>
      <w:r>
        <w:t xml:space="preserve">.</w:t>
      </w:r>
    </w:p>
    <w:p>
      <w:pPr>
        <w:pStyle w:val="BodyText"/>
      </w:pPr>
      <w:r>
        <w:rPr>
          <w:bCs/>
          <w:b/>
        </w:rPr>
        <w:t xml:space="preserve">For BelgoChem Engineering Solutions S.A.</w:t>
      </w:r>
    </w:p>
    <w:p>
      <w:pPr>
        <w:pStyle w:val="BodyText"/>
      </w:pPr>
      <w:r>
        <w:t xml:space="preserve">Name: Prof. Dr. Luc De Smet</w:t>
      </w:r>
      <w:r>
        <w:br/>
      </w:r>
      <w:r>
        <w:t xml:space="preserve">Title: Managing Director &amp; Lead Chemical Engineer</w:t>
      </w:r>
      <w:r>
        <w:br/>
      </w:r>
      <w:r>
        <w:t xml:space="preserve">Date: _______________</w:t>
      </w:r>
    </w:p>
    <w:p>
      <w:pPr>
        <w:pStyle w:val="BodyText"/>
      </w:pPr>
      <w:r>
        <w:rPr>
          <w:bCs/>
          <w:b/>
        </w:rPr>
        <w:t xml:space="preserve">For PharmaNova Industries N.V.</w:t>
      </w:r>
    </w:p>
    <w:p>
      <w:pPr>
        <w:pStyle w:val="BodyText"/>
      </w:pPr>
      <w:r>
        <w:t xml:space="preserve">Name: Dr. Marie Van den Berg</w:t>
      </w:r>
      <w:r>
        <w:br/>
      </w:r>
      <w:r>
        <w:t xml:space="preserve">Title: Director of Operations</w:t>
      </w:r>
      <w:r>
        <w:br/>
      </w:r>
      <w:r>
        <w:t xml:space="preserve">Date: _______________</w:t>
      </w:r>
    </w:p>
    <w:p>
      <w:pPr>
        <w:pStyle w:val="BodyText"/>
      </w:pPr>
      <w:r>
        <w:t xml:space="preserve">BelgoChem Engineering Solutions S.A. | 12 Avenue Louise, 1050 Brussels, Belgium | VAT BE 0765.432.109</w:t>
      </w:r>
    </w:p>
    <w:p>
      <w:pPr>
        <w:pStyle w:val="BodyText"/>
      </w:pPr>
      <w:r>
        <w:t xml:space="preserve">This Quotation Estimate document is generated electronically and is valid without a physical signature. Document Ref: QTE-2025-BRU-0487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Belgium Brussels</dc:title>
  <dc:creator/>
  <dc:language>en</dc:language>
  <cp:keywords/>
  <dcterms:created xsi:type="dcterms:W3CDTF">2026-10-10T02:34:18Z</dcterms:created>
  <dcterms:modified xsi:type="dcterms:W3CDTF">2026-10-10T02:34:18Z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