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professional-chemical-engineer-services"/>
    <w:p>
      <w:pPr>
        <w:pStyle w:val="Heading2"/>
      </w:pPr>
      <w:r>
        <w:t xml:space="preserve">Professional Chemical Engineer Services</w:t>
      </w:r>
    </w:p>
    <w:p>
      <w:pPr>
        <w:pStyle w:val="FirstParagraph"/>
      </w:pPr>
      <w:r>
        <w:t xml:space="preserve">Prepared for use in</w:t>
      </w:r>
      <w:r>
        <w:t xml:space="preserve"> </w:t>
      </w:r>
      <w:r>
        <w:rPr>
          <w:bCs/>
          <w:b/>
        </w:rPr>
        <w:t xml:space="preserve">Ethiopia Addis Ababa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QTE-ETH-AA-2025-0472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Selamawit Bekele, P.Eng. – Lead Chemical Engineer</w:t>
            </w:r>
          </w:p>
        </w:tc>
      </w:tr>
      <w:tr>
        <w:tc>
          <w:tcPr/>
          <w:p>
            <w:pPr>
              <w:pStyle w:val="Compact"/>
              <w:jc w:val="left"/>
            </w:pPr>
            <w:r>
              <w:t xml:space="preserve">Company:</w:t>
            </w:r>
          </w:p>
        </w:tc>
        <w:tc>
          <w:tcPr/>
          <w:p>
            <w:pPr>
              <w:pStyle w:val="Compact"/>
              <w:jc w:val="left"/>
            </w:pPr>
            <w:r>
              <w:t xml:space="preserve">Addis Chemical Engineering Consultants PLC, Bole Road, Addis Ababa, Ethiopia</w:t>
            </w:r>
          </w:p>
        </w:tc>
      </w:tr>
      <w:tr>
        <w:tc>
          <w:tcPr/>
          <w:p>
            <w:pPr>
              <w:pStyle w:val="Compact"/>
              <w:jc w:val="left"/>
            </w:pPr>
            <w:r>
              <w:t xml:space="preserve">Client / Requestor:</w:t>
            </w:r>
          </w:p>
        </w:tc>
        <w:tc>
          <w:tcPr/>
          <w:p>
            <w:pPr>
              <w:pStyle w:val="Compact"/>
              <w:jc w:val="left"/>
            </w:pPr>
            <w:r>
              <w:t xml:space="preserve">Ethiopian Industrial Development Authority, Addis Ababa, Ethiopia</w:t>
            </w:r>
          </w:p>
        </w:tc>
      </w:tr>
      <w:tr>
        <w:tc>
          <w:tcPr/>
          <w:p>
            <w:pPr>
              <w:pStyle w:val="Compact"/>
              <w:jc w:val="left"/>
            </w:pPr>
            <w:r>
              <w:t xml:space="preserve">Project Location:</w:t>
            </w:r>
          </w:p>
        </w:tc>
        <w:tc>
          <w:tcPr/>
          <w:p>
            <w:pPr>
              <w:pStyle w:val="Compact"/>
              <w:jc w:val="left"/>
            </w:pPr>
            <w:r>
              <w:t xml:space="preserve">East Gojjam Industrial Zone, Ethiopia Addis Ababa Corridor</w:t>
            </w:r>
          </w:p>
        </w:tc>
      </w:tr>
      <w:tr>
        <w:tc>
          <w:tcPr/>
          <w:p>
            <w:pPr>
              <w:pStyle w:val="Compact"/>
              <w:jc w:val="left"/>
            </w:pPr>
            <w:r>
              <w:t xml:space="preserve">Currency:</w:t>
            </w:r>
          </w:p>
        </w:tc>
        <w:tc>
          <w:tcPr/>
          <w:p>
            <w:pPr>
              <w:pStyle w:val="Compact"/>
              <w:jc w:val="left"/>
            </w:pPr>
            <w:r>
              <w:t xml:space="preserve">Ethiopian Birr (ETB) / US Dollar (USD)</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breakdown of professional fees, technical deliverables, and associated costs for the engagement of a qualified</w:t>
      </w:r>
      <w:r>
        <w:t xml:space="preserve"> </w:t>
      </w:r>
      <w:r>
        <w:t xml:space="preserve">Chemical Engineer</w:t>
      </w:r>
      <w:r>
        <w:t xml:space="preserve"> </w:t>
      </w:r>
      <w:r>
        <w:t xml:space="preserve">to support industrial process design, plant optimization, and environmental compliance activities within the</w:t>
      </w:r>
      <w:r>
        <w:t xml:space="preserve"> </w:t>
      </w:r>
      <w:r>
        <w:t xml:space="preserve">Ethiopia Addis Ababa</w:t>
      </w:r>
      <w:r>
        <w:t xml:space="preserve"> </w:t>
      </w:r>
      <w:r>
        <w:t xml:space="preserve">metropolitan and peri-urban industrial corridor. The scope encompasses all engineering consultancy services required to bring the client's manufacturing facility into full operational readiness in accordance with Ethiopian national standards (ES 55:2023) and applicable international chemical engineering codes.</w:t>
      </w:r>
    </w:p>
    <w:bookmarkEnd w:id="22"/>
    <w:bookmarkStart w:id="23" w:name="X3bbd813e29a7d47e654f178a2f1607c7ddd7053"/>
    <w:p>
      <w:pPr>
        <w:pStyle w:val="Heading3"/>
      </w:pPr>
      <w:r>
        <w:t xml:space="preserve">2. Detailed Scope of Services – Chemical Engineer Engagement</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perform the following duties in and around</w:t>
      </w:r>
      <w:r>
        <w:t xml:space="preserve"> </w:t>
      </w:r>
      <w:r>
        <w:t xml:space="preserve">Ethiopia Addis Ababa</w:t>
      </w:r>
      <w:r>
        <w:t xml:space="preserve">:</w:t>
      </w:r>
    </w:p>
    <w:p>
      <w:pPr>
        <w:numPr>
          <w:ilvl w:val="0"/>
          <w:numId w:val="1001"/>
        </w:numPr>
        <w:pStyle w:val="Compact"/>
      </w:pPr>
      <w:r>
        <w:t xml:space="preserve">Conduct a full process safety review (PSR) of the existing 12,000 m² production facility located in the Adama Industrial Park extension zone.</w:t>
      </w:r>
    </w:p>
    <w:p>
      <w:pPr>
        <w:numPr>
          <w:ilvl w:val="0"/>
          <w:numId w:val="1001"/>
        </w:numPr>
        <w:pStyle w:val="Compact"/>
      </w:pPr>
      <w:r>
        <w:t xml:space="preserve">Design and specify a new wastewater treatment system (WWTS) with a capacity of 500 m³/day, compliant with Ethiopian Environmental Protection Authority (EPA) discharge limits.</w:t>
      </w:r>
    </w:p>
    <w:p>
      <w:pPr>
        <w:numPr>
          <w:ilvl w:val="0"/>
          <w:numId w:val="1001"/>
        </w:numPr>
        <w:pStyle w:val="Compact"/>
      </w:pPr>
      <w:r>
        <w:t xml:space="preserve">Prepare a complete Process &amp; Instrumentation Diagram (P&amp;ID) package for the proposed 200-tonne-per-day ethanol distillation unit.</w:t>
      </w:r>
    </w:p>
    <w:p>
      <w:pPr>
        <w:numPr>
          <w:ilvl w:val="0"/>
          <w:numId w:val="1001"/>
        </w:numPr>
        <w:pStyle w:val="Compact"/>
      </w:pPr>
      <w:r>
        <w:t xml:space="preserve">Perform heat and mass balance calculations, equipment sizing, and hydraulic analysis for all process piping (Schedule 40, ASME B31.3).</w:t>
      </w:r>
    </w:p>
    <w:p>
      <w:pPr>
        <w:numPr>
          <w:ilvl w:val="0"/>
          <w:numId w:val="1001"/>
        </w:numPr>
        <w:pStyle w:val="Compact"/>
      </w:pPr>
      <w:r>
        <w:t xml:space="preserve">Develop a Hazard and Operability Study (HAZOP) report and a Quantitative Risk Assessment (QRA) for the chemical storage yard.</w:t>
      </w:r>
    </w:p>
    <w:p>
      <w:pPr>
        <w:numPr>
          <w:ilvl w:val="0"/>
          <w:numId w:val="1001"/>
        </w:numPr>
        <w:pStyle w:val="Compact"/>
      </w:pPr>
      <w:r>
        <w:t xml:space="preserve">Provide on-site supervision and commissioning support for a minimum of 45 working days within the</w:t>
      </w:r>
      <w:r>
        <w:t xml:space="preserve"> </w:t>
      </w:r>
      <w:r>
        <w:t xml:space="preserve">Ethiopia Addis Ababa</w:t>
      </w:r>
      <w:r>
        <w:t xml:space="preserve"> </w:t>
      </w:r>
      <w:r>
        <w:t xml:space="preserve">project site.</w:t>
      </w:r>
    </w:p>
    <w:p>
      <w:pPr>
        <w:numPr>
          <w:ilvl w:val="0"/>
          <w:numId w:val="1001"/>
        </w:numPr>
        <w:pStyle w:val="Compact"/>
      </w:pPr>
      <w:r>
        <w:t xml:space="preserve">Deliver a final as-built documentation package and a 12-month post-commissioning warranty support plan.</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(ETB)</w:t>
            </w:r>
          </w:p>
        </w:tc>
        <w:tc>
          <w:tcPr/>
          <w:p>
            <w:pPr>
              <w:pStyle w:val="Compact"/>
              <w:jc w:val="left"/>
            </w:pPr>
            <w:r>
              <w:t xml:space="preserve">Amount (ETB)</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Process Safety Review &amp; HAZOP Study (Chemical Engineer – Senior Level)</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15,278</w:t>
            </w:r>
          </w:p>
        </w:tc>
      </w:tr>
      <w:tr>
        <w:tc>
          <w:tcPr/>
          <w:p>
            <w:pPr>
              <w:pStyle w:val="Compact"/>
              <w:jc w:val="left"/>
            </w:pPr>
            <w:r>
              <w:t xml:space="preserve">2</w:t>
            </w:r>
          </w:p>
        </w:tc>
        <w:tc>
          <w:tcPr/>
          <w:p>
            <w:pPr>
              <w:pStyle w:val="Compact"/>
              <w:jc w:val="left"/>
            </w:pPr>
            <w:r>
              <w:t xml:space="preserve">Wastewater Treatment System Design &amp; Specification</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21,622</w:t>
            </w:r>
          </w:p>
        </w:tc>
      </w:tr>
      <w:tr>
        <w:tc>
          <w:tcPr/>
          <w:p>
            <w:pPr>
              <w:pStyle w:val="Compact"/>
              <w:jc w:val="left"/>
            </w:pPr>
            <w:r>
              <w:t xml:space="preserve">3</w:t>
            </w:r>
          </w:p>
        </w:tc>
        <w:tc>
          <w:tcPr/>
          <w:p>
            <w:pPr>
              <w:pStyle w:val="Compact"/>
              <w:jc w:val="left"/>
            </w:pPr>
            <w:r>
              <w:t xml:space="preserve">P&amp;ID Package – Ethanol Distillation Unit (200 TPD)</w:t>
            </w:r>
          </w:p>
        </w:tc>
        <w:tc>
          <w:tcPr/>
          <w:p>
            <w:pPr>
              <w:pStyle w:val="Compact"/>
              <w:jc w:val="left"/>
            </w:pPr>
            <w:r>
              <w:t xml:space="preserve">1 set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27,027</w:t>
            </w:r>
          </w:p>
        </w:tc>
      </w:tr>
      <w:tr>
        <w:tc>
          <w:tcPr/>
          <w:p>
            <w:pPr>
              <w:pStyle w:val="Compact"/>
              <w:jc w:val="left"/>
            </w:pPr>
            <w:r>
              <w:t xml:space="preserve">4</w:t>
            </w:r>
          </w:p>
        </w:tc>
        <w:tc>
          <w:tcPr/>
          <w:p>
            <w:pPr>
              <w:pStyle w:val="Compact"/>
              <w:jc w:val="left"/>
            </w:pPr>
            <w:r>
              <w:t xml:space="preserve">Heat &amp; Mass Balance, Equipment Sizing, Hydraulic Analysis</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17,094</w:t>
            </w:r>
          </w:p>
        </w:tc>
      </w:tr>
      <w:tr>
        <w:tc>
          <w:tcPr/>
          <w:p>
            <w:pPr>
              <w:pStyle w:val="Compact"/>
              <w:jc w:val="left"/>
            </w:pPr>
            <w:r>
              <w:t xml:space="preserve">5</w:t>
            </w:r>
          </w:p>
        </w:tc>
        <w:tc>
          <w:tcPr/>
          <w:p>
            <w:pPr>
              <w:pStyle w:val="Compact"/>
              <w:jc w:val="left"/>
            </w:pPr>
            <w:r>
              <w:t xml:space="preserve">Quantitative Risk Assessment (QRA) – Chemical Storage Yard</w:t>
            </w:r>
          </w:p>
        </w:tc>
        <w:tc>
          <w:tcPr/>
          <w:p>
            <w:pPr>
              <w:pStyle w:val="Compact"/>
              <w:jc w:val="left"/>
            </w:pPr>
            <w:r>
              <w:t xml:space="preserve">1 lot</w:t>
            </w:r>
          </w:p>
        </w:tc>
        <w:tc>
          <w:tcPr/>
          <w:p>
            <w:pPr>
              <w:pStyle w:val="Compact"/>
              <w:jc w:val="left"/>
            </w:pPr>
            <w:r>
              <w:t xml:space="preserve">700,000</w:t>
            </w:r>
          </w:p>
        </w:tc>
        <w:tc>
          <w:tcPr/>
          <w:p>
            <w:pPr>
              <w:pStyle w:val="Compact"/>
              <w:jc w:val="left"/>
            </w:pPr>
            <w:r>
              <w:t xml:space="preserve">700,000</w:t>
            </w:r>
          </w:p>
        </w:tc>
        <w:tc>
          <w:tcPr/>
          <w:p>
            <w:pPr>
              <w:pStyle w:val="Compact"/>
              <w:jc w:val="left"/>
            </w:pPr>
            <w:r>
              <w:t xml:space="preserve">12,612</w:t>
            </w:r>
          </w:p>
        </w:tc>
      </w:tr>
      <w:tr>
        <w:tc>
          <w:tcPr/>
          <w:p>
            <w:pPr>
              <w:pStyle w:val="Compact"/>
              <w:jc w:val="left"/>
            </w:pPr>
            <w:r>
              <w:t xml:space="preserve">6</w:t>
            </w:r>
          </w:p>
        </w:tc>
        <w:tc>
          <w:tcPr/>
          <w:p>
            <w:pPr>
              <w:pStyle w:val="Compact"/>
              <w:jc w:val="left"/>
            </w:pPr>
            <w:r>
              <w:t xml:space="preserve">On-Site Supervision &amp; Commissioning (Chemical Engineer + 2 Technicians)</w:t>
            </w:r>
          </w:p>
        </w:tc>
        <w:tc>
          <w:tcPr/>
          <w:p>
            <w:pPr>
              <w:pStyle w:val="Compact"/>
              <w:jc w:val="left"/>
            </w:pPr>
            <w:r>
              <w:t xml:space="preserve">45 days</w:t>
            </w:r>
          </w:p>
        </w:tc>
        <w:tc>
          <w:tcPr/>
          <w:p>
            <w:pPr>
              <w:pStyle w:val="Compact"/>
              <w:jc w:val="left"/>
            </w:pPr>
            <w:r>
              <w:t xml:space="preserve">18,000</w:t>
            </w:r>
          </w:p>
        </w:tc>
        <w:tc>
          <w:tcPr/>
          <w:p>
            <w:pPr>
              <w:pStyle w:val="Compact"/>
              <w:jc w:val="left"/>
            </w:pPr>
            <w:r>
              <w:t xml:space="preserve">810,000</w:t>
            </w:r>
          </w:p>
        </w:tc>
        <w:tc>
          <w:tcPr/>
          <w:p>
            <w:pPr>
              <w:pStyle w:val="Compact"/>
              <w:jc w:val="left"/>
            </w:pPr>
            <w:r>
              <w:t xml:space="preserve">14,594</w:t>
            </w:r>
          </w:p>
        </w:tc>
      </w:tr>
      <w:tr>
        <w:tc>
          <w:tcPr/>
          <w:p>
            <w:pPr>
              <w:pStyle w:val="Compact"/>
              <w:jc w:val="left"/>
            </w:pPr>
            <w:r>
              <w:t xml:space="preserve">7</w:t>
            </w:r>
          </w:p>
        </w:tc>
        <w:tc>
          <w:tcPr/>
          <w:p>
            <w:pPr>
              <w:pStyle w:val="Compact"/>
              <w:jc w:val="left"/>
            </w:pPr>
            <w:r>
              <w:t xml:space="preserve">As-Built Documentation &amp; 12-Month Warranty Support Plan</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8,108</w:t>
            </w:r>
          </w:p>
        </w:tc>
      </w:tr>
      <w:tr>
        <w:tc>
          <w:tcPr/>
          <w:p>
            <w:pPr>
              <w:pStyle w:val="Compact"/>
              <w:jc w:val="left"/>
            </w:pPr>
            <w:r>
              <w:t xml:space="preserve">8</w:t>
            </w:r>
          </w:p>
        </w:tc>
        <w:tc>
          <w:tcPr/>
          <w:p>
            <w:pPr>
              <w:pStyle w:val="Compact"/>
              <w:jc w:val="left"/>
            </w:pPr>
            <w:r>
              <w:t xml:space="preserve">Travel, Accommodation &amp; Per Diem within Ethiopia Addis Ababa</w:t>
            </w:r>
          </w:p>
        </w:tc>
        <w:tc>
          <w:tcPr/>
          <w:p>
            <w:pPr>
              <w:pStyle w:val="Compact"/>
              <w:jc w:val="left"/>
            </w:pPr>
            <w:r>
              <w:t xml:space="preserve">45 days</w:t>
            </w:r>
          </w:p>
        </w:tc>
        <w:tc>
          <w:tcPr/>
          <w:p>
            <w:pPr>
              <w:pStyle w:val="Compact"/>
              <w:jc w:val="left"/>
            </w:pPr>
            <w:r>
              <w:t xml:space="preserve">6,500</w:t>
            </w:r>
          </w:p>
        </w:tc>
        <w:tc>
          <w:tcPr/>
          <w:p>
            <w:pPr>
              <w:pStyle w:val="Compact"/>
              <w:jc w:val="left"/>
            </w:pPr>
            <w:r>
              <w:t xml:space="preserve">292,500</w:t>
            </w:r>
          </w:p>
        </w:tc>
        <w:tc>
          <w:tcPr/>
          <w:p>
            <w:pPr>
              <w:pStyle w:val="Compact"/>
              <w:jc w:val="left"/>
            </w:pPr>
            <w:r>
              <w:t xml:space="preserve">5,270</w:t>
            </w:r>
          </w:p>
        </w:tc>
      </w:tr>
      <w:tr>
        <w:tc>
          <w:tcPr/>
          <w:p>
            <w:pPr>
              <w:pStyle w:val="Compact"/>
              <w:jc w:val="left"/>
            </w:pPr>
            <w:r>
              <w:t xml:space="preserve">9</w:t>
            </w:r>
          </w:p>
        </w:tc>
        <w:tc>
          <w:tcPr/>
          <w:p>
            <w:pPr>
              <w:pStyle w:val="Compact"/>
              <w:jc w:val="left"/>
            </w:pPr>
            <w:r>
              <w:t xml:space="preserve">Software Licenses (Aspen Plus, AutoCAD P&amp;ID, HAZOP Pro)</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5,758</w:t>
            </w:r>
          </w:p>
        </w:tc>
      </w:tr>
      <w:tr>
        <w:tc>
          <w:tcPr/>
          <w:p>
            <w:pPr>
              <w:pStyle w:val="Compact"/>
              <w:jc w:val="left"/>
            </w:pPr>
            <w:r>
              <w:t xml:space="preserve">10</w:t>
            </w:r>
          </w:p>
        </w:tc>
        <w:tc>
          <w:tcPr/>
          <w:p>
            <w:pPr>
              <w:pStyle w:val="Compact"/>
              <w:jc w:val="left"/>
            </w:pPr>
            <w:r>
              <w:t xml:space="preserve">Contingency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707,250</w:t>
            </w:r>
          </w:p>
        </w:tc>
        <w:tc>
          <w:tcPr/>
          <w:p>
            <w:pPr>
              <w:pStyle w:val="Compact"/>
              <w:jc w:val="left"/>
            </w:pPr>
            <w:r>
              <w:t xml:space="preserve">12,732</w:t>
            </w:r>
          </w:p>
        </w:tc>
      </w:tr>
      <w:tr>
        <w:tc>
          <w:tcPr>
            <w:gridSpan w:val="4"/>
          </w:tcPr>
          <w:p>
            <w:pPr>
              <w:pStyle w:val="Compact"/>
              <w:jc w:val="left"/>
            </w:pPr>
            <w:r>
              <w:t xml:space="preserve">GRAND TOTAL (inclusive of 10% contingency)</w:t>
            </w:r>
          </w:p>
        </w:tc>
        <w:tc>
          <w:tcPr/>
          <w:p>
            <w:pPr>
              <w:pStyle w:val="Compact"/>
              <w:jc w:val="left"/>
            </w:pPr>
            <w:r>
              <w:t xml:space="preserve">7,779,750</w:t>
            </w:r>
          </w:p>
        </w:tc>
        <w:tc>
          <w:tcPr/>
          <w:p>
            <w:pPr>
              <w:pStyle w:val="Compact"/>
              <w:jc w:val="left"/>
            </w:pPr>
            <w:r>
              <w:t xml:space="preserve">139,995</w:t>
            </w:r>
          </w:p>
        </w:tc>
      </w:tr>
    </w:tbl>
    <w:p>
      <w:pPr>
        <w:pStyle w:val="BodyText"/>
      </w:pPr>
      <w:r>
        <w:t xml:space="preserve">* Exchange rate applied: 1 USD = 55.57 ETB (National Bank of Ethiopia, June 2025). All amounts are exclusive of 15% Ethiopian Value Added Tax (VAT), which shall be added at invoicing.</w:t>
      </w:r>
    </w:p>
    <w:bookmarkEnd w:id="24"/>
    <w:bookmarkStart w:id="25" w:name="payment-schedule"/>
    <w:p>
      <w:pPr>
        <w:pStyle w:val="Heading3"/>
      </w:pPr>
      <w:r>
        <w:t xml:space="preserve">4. Payment Schedule</w:t>
      </w:r>
    </w:p>
    <w:p>
      <w:pPr>
        <w:numPr>
          <w:ilvl w:val="0"/>
          <w:numId w:val="1002"/>
        </w:numPr>
        <w:pStyle w:val="Compact"/>
      </w:pPr>
      <w:r>
        <w:rPr>
          <w:bCs/>
          <w:b/>
        </w:rPr>
        <w:t xml:space="preserve">Milestone 1 (30%):</w:t>
      </w:r>
      <w:r>
        <w:t xml:space="preserve"> </w:t>
      </w:r>
      <w:r>
        <w:t xml:space="preserve">Upon signing of the service agreement and receipt of the approved</w:t>
      </w:r>
      <w:r>
        <w:t xml:space="preserve"> </w:t>
      </w:r>
      <w:r>
        <w:t xml:space="preserve">Quotation Estimate</w:t>
      </w:r>
      <w:r>
        <w:t xml:space="preserve"> </w:t>
      </w:r>
      <w:r>
        <w:t xml:space="preserve">– ETB 2,333,925.</w:t>
      </w:r>
    </w:p>
    <w:p>
      <w:pPr>
        <w:numPr>
          <w:ilvl w:val="0"/>
          <w:numId w:val="1002"/>
        </w:numPr>
        <w:pStyle w:val="Compact"/>
      </w:pPr>
      <w:r>
        <w:rPr>
          <w:bCs/>
          <w:b/>
        </w:rPr>
        <w:t xml:space="preserve">Milestone 2 (25%):</w:t>
      </w:r>
      <w:r>
        <w:t xml:space="preserve"> </w:t>
      </w:r>
      <w:r>
        <w:t xml:space="preserve">Upon delivery of the HAZOP report, P&amp;ID package, and WWTS design documents – ETB 1,944,938.</w:t>
      </w:r>
    </w:p>
    <w:p>
      <w:pPr>
        <w:numPr>
          <w:ilvl w:val="0"/>
          <w:numId w:val="1002"/>
        </w:numPr>
        <w:pStyle w:val="Compact"/>
      </w:pPr>
      <w:r>
        <w:rPr>
          <w:bCs/>
          <w:b/>
        </w:rPr>
        <w:t xml:space="preserve">Milestone 3 (25%):</w:t>
      </w:r>
      <w:r>
        <w:t xml:space="preserve"> </w:t>
      </w:r>
      <w:r>
        <w:t xml:space="preserve">Upon completion of on-site commissioning and handover of as-built documentation – ETB 1,944,938.</w:t>
      </w:r>
    </w:p>
    <w:p>
      <w:pPr>
        <w:numPr>
          <w:ilvl w:val="0"/>
          <w:numId w:val="1002"/>
        </w:numPr>
        <w:pStyle w:val="Compact"/>
      </w:pPr>
      <w:r>
        <w:rPr>
          <w:bCs/>
          <w:b/>
        </w:rPr>
        <w:t xml:space="preserve">Milestone 4 (20%):</w:t>
      </w:r>
      <w:r>
        <w:t xml:space="preserve"> </w:t>
      </w:r>
      <w:r>
        <w:t xml:space="preserve">Upon successful completion of the 12-month warranty period with no unresolved critical defects – ETB 1,555,950.</w:t>
      </w:r>
    </w:p>
    <w:bookmarkEnd w:id="25"/>
    <w:bookmarkStart w:id="26"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request for extension must be submitted in writing to the undersigned</w:t>
      </w:r>
      <w:r>
        <w:t xml:space="preserve"> </w:t>
      </w:r>
      <w:r>
        <w:t xml:space="preserve">Chemical Engineer</w:t>
      </w:r>
      <w:r>
        <w:t xml:space="preserve"> </w:t>
      </w:r>
      <w:r>
        <w:t xml:space="preserve">prior to expiry.</w:t>
      </w:r>
    </w:p>
    <w:p>
      <w:pPr>
        <w:numPr>
          <w:ilvl w:val="0"/>
          <w:numId w:val="1003"/>
        </w:numPr>
        <w:pStyle w:val="Compact"/>
      </w:pPr>
      <w:r>
        <w:t xml:space="preserve">All engineering services shall be performed in strict compliance with the Ethiopian Engineering and Architecture Proclamation (No. 1086/2018) and the professional code of conduct of the Ethiopian Engineering Society.</w:t>
      </w:r>
    </w:p>
    <w:p>
      <w:pPr>
        <w:numPr>
          <w:ilvl w:val="0"/>
          <w:numId w:val="1003"/>
        </w:numPr>
        <w:pStyle w:val="Compact"/>
      </w:pPr>
      <w:r>
        <w:t xml:space="preserve">The</w:t>
      </w:r>
      <w:r>
        <w:t xml:space="preserve"> </w:t>
      </w:r>
      <w:r>
        <w:t xml:space="preserve">Chemical Engineer</w:t>
      </w:r>
      <w:r>
        <w:t xml:space="preserve"> </w:t>
      </w:r>
      <w:r>
        <w:t xml:space="preserve">and all supporting personnel shall hold valid professional licenses issued by the Ethiopian Ministry of Water, Irrigation and Energy (or equivalent regulatory body) and shall maintain professional indemnity insurance of not less than ETB 10,000,000.</w:t>
      </w:r>
    </w:p>
    <w:p>
      <w:pPr>
        <w:numPr>
          <w:ilvl w:val="0"/>
          <w:numId w:val="1003"/>
        </w:numPr>
        <w:pStyle w:val="Compact"/>
      </w:pPr>
      <w:r>
        <w:t xml:space="preserve">Intellectual property rights in all design documents, calculations, and reports generated under this engagement shall vest in the client upon full payment. The</w:t>
      </w:r>
      <w:r>
        <w:t xml:space="preserve"> </w:t>
      </w:r>
      <w:r>
        <w:t xml:space="preserve">Chemical Engineer</w:t>
      </w:r>
      <w:r>
        <w:t xml:space="preserve"> </w:t>
      </w:r>
      <w:r>
        <w:t xml:space="preserve">retains the right to reference the project in professional portfolios with client written consent.</w:t>
      </w:r>
    </w:p>
    <w:p>
      <w:pPr>
        <w:numPr>
          <w:ilvl w:val="0"/>
          <w:numId w:val="1003"/>
        </w:numPr>
        <w:pStyle w:val="Compact"/>
      </w:pPr>
      <w:r>
        <w:t xml:space="preserve">Any change in scope, additional site visits beyond</w:t>
      </w:r>
      <w:r>
        <w:t xml:space="preserve"> </w:t>
      </w:r>
      <w:r>
        <w:t xml:space="preserve">Ethiopia Addis Ababa</w:t>
      </w:r>
      <w:r>
        <w:t xml:space="preserve">, or extended commissioning periods shall be subject to a formal variation order and a revised</w:t>
      </w:r>
      <w:r>
        <w:t xml:space="preserve"> </w:t>
      </w:r>
      <w:r>
        <w:t xml:space="preserve">Quotation Estimate</w:t>
      </w:r>
      <w:r>
        <w:t xml:space="preserve"> </w:t>
      </w:r>
      <w:r>
        <w:t xml:space="preserve">prior to execution.</w:t>
      </w:r>
    </w:p>
    <w:p>
      <w:pPr>
        <w:numPr>
          <w:ilvl w:val="0"/>
          <w:numId w:val="1003"/>
        </w:numPr>
        <w:pStyle w:val="Compact"/>
      </w:pPr>
      <w:r>
        <w:t xml:space="preserve">Disputes arising from this agreement shall be resolved through mediation under the Addis Ababa City Commercial Court, and failing that, by arbitration in accordance with the Ethiopian Arbitration Proclamation (No. 1229/2020).</w:t>
      </w:r>
    </w:p>
    <w:p>
      <w:pPr>
        <w:numPr>
          <w:ilvl w:val="0"/>
          <w:numId w:val="1003"/>
        </w:numPr>
        <w:pStyle w:val="Compact"/>
      </w:pPr>
      <w:r>
        <w:t xml:space="preserve">The client shall provide safe access to the project site, all existing plant data, utility connection points, and a dedicated project liaison officer throughout the duration of the</w:t>
      </w:r>
      <w:r>
        <w:t xml:space="preserve"> </w:t>
      </w:r>
      <w:r>
        <w:t xml:space="preserve">Chemical Engineer</w:t>
      </w:r>
      <w:r>
        <w:t xml:space="preserve">'s engagement.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Chemical Engineer</w:t>
      </w:r>
      <w:r>
        <w:t xml:space="preserve"> </w:t>
      </w:r>
      <w:r>
        <w:t xml:space="preserve">in</w:t>
      </w:r>
      <w:r>
        <w:t xml:space="preserve"> </w:t>
      </w:r>
      <w:r>
        <w:t xml:space="preserve">Ethiopia Addis Ababa</w:t>
      </w:r>
      <w:r>
        <w:t xml:space="preserve">.</w:t>
      </w:r>
    </w:p>
    <w:p>
      <w:pPr>
        <w:pStyle w:val="BodyText"/>
      </w:pPr>
      <w:r>
        <w:rPr>
          <w:bCs/>
          <w:b/>
        </w:rPr>
        <w:t xml:space="preserve">For and on behalf of the Provider</w:t>
      </w:r>
      <w:r>
        <w:br/>
      </w:r>
      <w:r>
        <w:t xml:space="preserve">Dr. Selamawit Bekele, P.Eng.</w:t>
      </w:r>
      <w:r>
        <w:br/>
      </w:r>
      <w:r>
        <w:t xml:space="preserve">Lead Chemical Engineer</w:t>
      </w:r>
      <w:r>
        <w:br/>
      </w:r>
      <w:r>
        <w:t xml:space="preserve">Addis Chemical Engineering Consultants PLC</w:t>
      </w:r>
      <w:r>
        <w:br/>
      </w:r>
      <w:r>
        <w:br/>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Ethiopian Industrial Development Authority</w:t>
      </w:r>
      <w:r>
        <w:br/>
      </w:r>
      <w:r>
        <w:t xml:space="preserve">Addis Ababa, Ethiopia</w:t>
      </w:r>
      <w:r>
        <w:br/>
      </w:r>
      <w:r>
        <w:br/>
      </w:r>
      <w:r>
        <w:br/>
      </w:r>
      <w:r>
        <w:t xml:space="preserve">Signature: _________________________</w:t>
      </w:r>
      <w:r>
        <w:br/>
      </w:r>
      <w:r>
        <w:t xml:space="preserve">Date: _________________________</w:t>
      </w:r>
    </w:p>
    <w:p>
      <w:pPr>
        <w:pStyle w:val="BodyText"/>
      </w:pPr>
      <w:r>
        <w:t xml:space="preserve">This Quotation Estimate document was prepared exclusively for the named client and the project located in Ethiopia Addis Ababa. It shall not be reproduced, distributed, or used for any other purpose without the prior written consent of Addis Chemical Engineering Consultants PLC. Document Ref: QTE-ETH-AA-2025-0472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Ethiopia Addis Ababa</dc:title>
  <dc:creator/>
  <dc:language>en</dc:language>
  <cp:keywords/>
  <dcterms:created xsi:type="dcterms:W3CDTF">2026-10-10T06:27:57Z</dcterms:created>
  <dcterms:modified xsi:type="dcterms:W3CDTF">2026-10-10T06:27:57Z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