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rochem-engineering-solutions-gmbh"/>
    <w:p>
      <w:pPr>
        <w:pStyle w:val="Heading1"/>
      </w:pPr>
      <w:r>
        <w:t xml:space="preserve">ProChem Engineering Solutions GmbH</w:t>
      </w:r>
    </w:p>
    <w:p>
      <w:pPr>
        <w:pStyle w:val="FirstParagraph"/>
      </w:pPr>
      <w:r>
        <w:t xml:space="preserve">Industriestraße 42, 10115 Berlin, Germany | Tel: +49 30 1234 5678 | Email: estimates@prochem-berlin.de</w:t>
      </w:r>
    </w:p>
    <w:p>
      <w:pPr>
        <w:pStyle w:val="BodyText"/>
      </w:pPr>
      <w:r>
        <w:t xml:space="preserve">USt-IdNr: DE 123 456 789 | HRB 98765 B, Amtsgericht Berlin-Charlottenburg</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QTE-2025-CE-0472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For:</w:t>
            </w:r>
          </w:p>
        </w:tc>
        <w:tc>
          <w:tcPr/>
          <w:p>
            <w:pPr>
              <w:pStyle w:val="Compact"/>
              <w:jc w:val="left"/>
            </w:pPr>
            <w:r>
              <w:t xml:space="preserve">Dr. Markus Weber, Procurement Director, Vattenfall Energy Systems AG, Friedrichstraße 180, 10117 Berlin, Germany</w:t>
            </w:r>
          </w:p>
        </w:tc>
      </w:tr>
      <w:tr>
        <w:tc>
          <w:tcPr/>
          <w:p>
            <w:pPr>
              <w:pStyle w:val="Compact"/>
              <w:jc w:val="left"/>
            </w:pPr>
            <w:r>
              <w:t xml:space="preserve">Project Reference:</w:t>
            </w:r>
          </w:p>
        </w:tc>
        <w:tc>
          <w:tcPr/>
          <w:p>
            <w:pPr>
              <w:pStyle w:val="Compact"/>
              <w:jc w:val="left"/>
            </w:pPr>
            <w:r>
              <w:t xml:space="preserve">Process Optimization &amp; Safety Audit – Berlin Chemical Processing Facility</w:t>
            </w:r>
          </w:p>
        </w:tc>
      </w:tr>
      <w:tr>
        <w:tc>
          <w:tcPr/>
          <w:p>
            <w:pPr>
              <w:pStyle w:val="Compact"/>
              <w:jc w:val="left"/>
            </w:pPr>
            <w:r>
              <w:t xml:space="preserve">Location of Services:</w:t>
            </w:r>
          </w:p>
        </w:tc>
        <w:tc>
          <w:tcPr/>
          <w:p>
            <w:pPr>
              <w:pStyle w:val="Compact"/>
              <w:jc w:val="left"/>
            </w:pPr>
            <w:r>
              <w:t xml:space="preserve">Germany Berlin (all on-site work performed within the Berlin metropolitan area)</w:t>
            </w:r>
          </w:p>
        </w:tc>
      </w:tr>
    </w:tbl>
    <w:p>
      <w:pPr>
        <w:pStyle w:val="BodyText"/>
      </w:pPr>
      <w:r>
        <w:t xml:space="preserve">1. Scope of Work – Chemical Engineer Services</w:t>
      </w:r>
    </w:p>
    <w:p>
      <w:pPr>
        <w:pStyle w:val="BodyText"/>
      </w:pPr>
      <w:r>
        <w:t xml:space="preserve">This Quotation Estimate is issued by ProChem Engineering Solutions GmbH in response to the formal request for a qualified Chemical Engineer to support the process optimization, safety compliance audit, and technical consultancy for the Berlin Chemical Processing Facility located in the industrial district of Berlin-Adlershof. The scope of work encompasses the full engagement of a senior Chemical Engineer with a minimum of twelve (12) years of professional experience in petrochemical and energy-sector process design, specifically operating within the regulatory framework of Germany Berlin and the broader German federal state of Brandenburg.</w:t>
      </w:r>
    </w:p>
    <w:p>
      <w:pPr>
        <w:pStyle w:val="BodyText"/>
      </w:pPr>
      <w:r>
        <w:t xml:space="preserve">The Chemical Engineer will be responsible for conducting a comprehensive review of existing process flow diagrams, performing thermodynamic and kinetic analyses of reactor systems, evaluating pressure vessel integrity in accordance with the German Pressure Equipment Directive (Druckgeräterichtlinie 2014/68/EU), and preparing a detailed safety assessment report aligned with the German Occupational Safety and Health Act (Arbeitsschutzgesetz – ArbSchG). All deliverables will be produced in both German and English to satisfy the bilingual documentation requirements of the client's operations in Germany Berlin.</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On-site process audit and data collection by senior Chemical Engineer at the Berlin-Adlershof facility</w:t>
            </w:r>
          </w:p>
        </w:tc>
        <w:tc>
          <w:tcPr/>
          <w:p>
            <w:pPr>
              <w:pStyle w:val="Compact"/>
              <w:jc w:val="left"/>
            </w:pPr>
            <w:r>
              <w:t xml:space="preserve">Day</w:t>
            </w:r>
          </w:p>
        </w:tc>
        <w:tc>
          <w:tcPr/>
          <w:p>
            <w:pPr>
              <w:pStyle w:val="Compact"/>
              <w:jc w:val="left"/>
            </w:pPr>
            <w:r>
              <w:t xml:space="preserve">10</w:t>
            </w:r>
          </w:p>
        </w:tc>
        <w:tc>
          <w:tcPr/>
          <w:p>
            <w:pPr>
              <w:pStyle w:val="Compact"/>
              <w:jc w:val="left"/>
            </w:pPr>
            <w:r>
              <w:t xml:space="preserve">1,250.00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Thermodynamic simulation and reactor performance modelling (Aspen Plus / HYSYS)</w:t>
            </w:r>
          </w:p>
        </w:tc>
        <w:tc>
          <w:tcPr/>
          <w:p>
            <w:pPr>
              <w:pStyle w:val="Compact"/>
              <w:jc w:val="left"/>
            </w:pPr>
            <w:r>
              <w:t xml:space="preserve">Hour</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3</w:t>
            </w:r>
          </w:p>
        </w:tc>
        <w:tc>
          <w:tcPr/>
          <w:p>
            <w:pPr>
              <w:pStyle w:val="Compact"/>
              <w:jc w:val="left"/>
            </w:pPr>
            <w:r>
              <w:t xml:space="preserve">Preparation of HAZOP and Safety Integrity Level (SIL) assessment report per IEC 61511</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4</w:t>
            </w:r>
          </w:p>
        </w:tc>
        <w:tc>
          <w:tcPr/>
          <w:p>
            <w:pPr>
              <w:pStyle w:val="Compact"/>
              <w:jc w:val="left"/>
            </w:pPr>
            <w:r>
              <w:t xml:space="preserve">Regulatory compliance review against BImSchG (Federal Immission Control Act) and local Berlin environmental permits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5</w:t>
            </w:r>
          </w:p>
        </w:tc>
        <w:tc>
          <w:tcPr/>
          <w:p>
            <w:pPr>
              <w:pStyle w:val="Compact"/>
              <w:jc w:val="left"/>
            </w:pPr>
            <w:r>
              <w:t xml:space="preserve">Technical report compilation (bilingual: German / English) including executive summary for management in Germany Berlin</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6</w:t>
            </w:r>
          </w:p>
        </w:tc>
        <w:tc>
          <w:tcPr/>
          <w:p>
            <w:pPr>
              <w:pStyle w:val="Compact"/>
              <w:jc w:val="left"/>
            </w:pPr>
            <w:r>
              <w:t xml:space="preserve">Travel and accommodation within the Germany Berlin metropolitan area (on-site days)</w:t>
            </w:r>
          </w:p>
        </w:tc>
        <w:tc>
          <w:tcPr/>
          <w:p>
            <w:pPr>
              <w:pStyle w:val="Compact"/>
              <w:jc w:val="left"/>
            </w:pPr>
            <w:r>
              <w:t xml:space="preserve">Day</w:t>
            </w:r>
          </w:p>
        </w:tc>
        <w:tc>
          <w:tcPr/>
          <w:p>
            <w:pPr>
              <w:pStyle w:val="Compact"/>
              <w:jc w:val="left"/>
            </w:pPr>
            <w:r>
              <w:t xml:space="preserve">10</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Project management and client liaison (weekly progress meetings in Berlin)</w:t>
            </w:r>
          </w:p>
        </w:tc>
        <w:tc>
          <w:tcPr/>
          <w:p>
            <w:pPr>
              <w:pStyle w:val="Compact"/>
              <w:jc w:val="left"/>
            </w:pPr>
            <w:r>
              <w:t xml:space="preserve">Month</w:t>
            </w:r>
          </w:p>
        </w:tc>
        <w:tc>
          <w:tcPr/>
          <w:p>
            <w:pPr>
              <w:pStyle w:val="Compact"/>
              <w:jc w:val="left"/>
            </w:pPr>
            <w:r>
              <w:t xml:space="preserve">3</w:t>
            </w:r>
          </w:p>
        </w:tc>
        <w:tc>
          <w:tcPr/>
          <w:p>
            <w:pPr>
              <w:pStyle w:val="Compact"/>
              <w:jc w:val="left"/>
            </w:pPr>
            <w:r>
              <w:t xml:space="preserve">2,400.00</w:t>
            </w:r>
          </w:p>
        </w:tc>
        <w:tc>
          <w:tcPr/>
          <w:p>
            <w:pPr>
              <w:pStyle w:val="Compact"/>
              <w:jc w:val="left"/>
            </w:pPr>
            <w:r>
              <w:t xml:space="preserve">7,200.00</w:t>
            </w:r>
          </w:p>
        </w:tc>
      </w:tr>
      <w:tr>
        <w:tc>
          <w:tcPr>
            <w:gridSpan w:val="5"/>
          </w:tcPr>
          <w:p>
            <w:pPr>
              <w:pStyle w:val="Compact"/>
              <w:jc w:val="right"/>
            </w:pPr>
            <w:r>
              <w:t xml:space="preserve">Subtotal (excl. VAT):</w:t>
            </w:r>
          </w:p>
        </w:tc>
        <w:tc>
          <w:tcPr/>
          <w:p>
            <w:pPr>
              <w:pStyle w:val="Compact"/>
              <w:jc w:val="left"/>
            </w:pPr>
            <w:r>
              <w:t xml:space="preserve">44,030.00</w:t>
            </w:r>
          </w:p>
        </w:tc>
      </w:tr>
      <w:tr>
        <w:tc>
          <w:tcPr>
            <w:gridSpan w:val="5"/>
          </w:tcPr>
          <w:p>
            <w:pPr>
              <w:pStyle w:val="Compact"/>
              <w:jc w:val="right"/>
            </w:pPr>
            <w:r>
              <w:t xml:space="preserve">VAT (19% – German standard rate):</w:t>
            </w:r>
          </w:p>
        </w:tc>
        <w:tc>
          <w:tcPr/>
          <w:p>
            <w:pPr>
              <w:pStyle w:val="Compact"/>
              <w:jc w:val="left"/>
            </w:pPr>
            <w:r>
              <w:t xml:space="preserve">8,365.70</w:t>
            </w:r>
          </w:p>
        </w:tc>
      </w:tr>
      <w:tr>
        <w:tc>
          <w:tcPr>
            <w:gridSpan w:val="5"/>
          </w:tcPr>
          <w:p>
            <w:pPr>
              <w:pStyle w:val="Compact"/>
              <w:jc w:val="right"/>
            </w:pPr>
            <w:r>
              <w:t xml:space="preserve">Total Amount Due (incl. VAT):</w:t>
            </w:r>
          </w:p>
        </w:tc>
        <w:tc>
          <w:tcPr/>
          <w:p>
            <w:pPr>
              <w:pStyle w:val="Compact"/>
              <w:jc w:val="left"/>
            </w:pPr>
            <w:r>
              <w:t xml:space="preserve">52,395.70</w:t>
            </w:r>
          </w:p>
        </w:tc>
      </w:tr>
    </w:tbl>
    <w:p>
      <w:pPr>
        <w:pStyle w:val="BodyText"/>
      </w:pPr>
      <w:r>
        <w:t xml:space="preserve">3. Project Timeline</w:t>
      </w:r>
    </w:p>
    <w:p>
      <w:pPr>
        <w:pStyle w:val="BodyText"/>
      </w:pPr>
      <w:r>
        <w:t xml:space="preserve">The anticipated duration of the Chemical Engineer engagement is approximately twelve (12) weeks from the date of contract signature. The project will be executed in three phases: Phase 1 (Weeks 1–4) covers on-site data collection and preliminary process mapping in Germany Berlin; Phase 2 (Weeks 5–9) involves detailed simulation, HAZOP workshops, and regulatory gap analysis; Phase 3 (Weeks 10–12) is dedicated to report finalization, client presentation, and handover of all technical documentation. All milestones will be confirmed in a joint kickoff meeting to be held at the client's Berlin headquarters within five (5) business days of contract execution.</w:t>
      </w:r>
    </w:p>
    <w:p>
      <w:pPr>
        <w:pStyle w:val="BodyText"/>
      </w:pPr>
      <w:r>
        <w:t xml:space="preserve">4. Terms and Conditions</w:t>
      </w:r>
    </w:p>
    <w:p>
      <w:pPr>
        <w:numPr>
          <w:ilvl w:val="0"/>
          <w:numId w:val="1001"/>
        </w:numPr>
        <w:pStyle w:val="Compact"/>
      </w:pPr>
      <w:r>
        <w:t xml:space="preserve">This Quotation Estimate is valid for a period of ninety (90) calendar days from the date of issue. Beyond this period, pricing may be subject to revision due to market fluctuations in professional engineering rates in Germany Berlin.</w:t>
      </w:r>
    </w:p>
    <w:p>
      <w:pPr>
        <w:numPr>
          <w:ilvl w:val="0"/>
          <w:numId w:val="1001"/>
        </w:numPr>
        <w:pStyle w:val="Compact"/>
      </w:pPr>
      <w:r>
        <w:t xml:space="preserve">Payment terms: 30% advance payment upon contract signing; 40% upon completion of Phase 2 deliverables; 30% upon final acceptance of the complete technical report. All invoices are payable within thirty (30) days of receipt in accordance with German commercial practice (BGB § 286).</w:t>
      </w:r>
    </w:p>
    <w:p>
      <w:pPr>
        <w:numPr>
          <w:ilvl w:val="0"/>
          <w:numId w:val="1001"/>
        </w:numPr>
        <w:pStyle w:val="Compact"/>
      </w:pPr>
      <w:r>
        <w:t xml:space="preserve">The Chemical Engineer assigned to this project shall hold a recognized degree in Chemical Engineering (Dipl.-Ing. or M.Sc. Chemieingenieurwesen) and shall be registered with the relevant professional body in Germany. A copy of the professional qualification certificate will be provided upon request.</w:t>
      </w:r>
    </w:p>
    <w:p>
      <w:pPr>
        <w:numPr>
          <w:ilvl w:val="0"/>
          <w:numId w:val="1001"/>
        </w:numPr>
        <w:pStyle w:val="Compact"/>
      </w:pPr>
      <w:r>
        <w:t xml:space="preserve">All work performed under this Quotation Estimate shall comply with applicable German federal and state (Land Berlin) regulations, including but not limited to the German Works Constitution Act (Betriebsverfassungsgesetz) and data protection requirements under the GDPR (DSGVO).</w:t>
      </w:r>
    </w:p>
    <w:p>
      <w:pPr>
        <w:numPr>
          <w:ilvl w:val="0"/>
          <w:numId w:val="1001"/>
        </w:numPr>
        <w:pStyle w:val="Compact"/>
      </w:pPr>
      <w:r>
        <w:t xml:space="preserve">Intellectual property: All reports, models, and analyses produced specifically for the client under this engagement shall become the property of the client upon full payment. ProChem Engineering Solutions GmbH retains the right to use anonymized process data for internal training purposes.</w:t>
      </w:r>
    </w:p>
    <w:p>
      <w:pPr>
        <w:numPr>
          <w:ilvl w:val="0"/>
          <w:numId w:val="1001"/>
        </w:numPr>
        <w:pStyle w:val="Compact"/>
      </w:pPr>
      <w:r>
        <w:t xml:space="preserve">Force Majeure: Neither party shall be liable for delays caused by events beyond reasonable control, including but not limited to natural disasters, government-mandated shutdowns, or pandemics affecting operations in Germany Berlin.</w:t>
      </w:r>
    </w:p>
    <w:p>
      <w:pPr>
        <w:numPr>
          <w:ilvl w:val="0"/>
          <w:numId w:val="1001"/>
        </w:numPr>
        <w:pStyle w:val="Compact"/>
      </w:pPr>
      <w:r>
        <w:t xml:space="preserve">Governing Law: This agreement shall be governed by the laws of the Federal Republic of Germany. Any disputes shall be subject to the exclusive jurisdiction of the competent courts in Berlin, Germany.</w:t>
      </w:r>
    </w:p>
    <w:p>
      <w:pPr>
        <w:numPr>
          <w:ilvl w:val="0"/>
          <w:numId w:val="1001"/>
        </w:numPr>
        <w:pStyle w:val="Compact"/>
      </w:pPr>
      <w:r>
        <w:t xml:space="preserve">This Quotation Estimate does not constitute a binding contract until a formal service agreement is executed by both parties in writing.</w:t>
      </w:r>
    </w:p>
    <w:p>
      <w:pPr>
        <w:pStyle w:val="FirstParagraph"/>
      </w:pPr>
      <w:r>
        <w:t xml:space="preserve">5. Acceptance and Authorization</w:t>
      </w:r>
    </w:p>
    <w:p>
      <w:pPr>
        <w:pStyle w:val="BodyText"/>
      </w:pPr>
      <w:r>
        <w:t xml:space="preserve">By signing below, the client acknowledges receipt of this Quotation Estimate and authorizes ProChem Engineering Solutions GmbH to proceed with the engagement of the specified Chemical Engineer for the services described herein, to be performed in Germany Berlin.</w:t>
      </w:r>
    </w:p>
    <w:p>
      <w:pPr>
        <w:pStyle w:val="BodyText"/>
      </w:pPr>
      <w:r>
        <w:rPr>
          <w:bCs/>
          <w:b/>
        </w:rPr>
        <w:t xml:space="preserve">For ProChem Engineering Solutions GmbH</w:t>
      </w:r>
      <w:r>
        <w:br/>
      </w:r>
      <w:r>
        <w:br/>
      </w:r>
      <w:r>
        <w:t xml:space="preserve">Name: Dr. Anna Schmidt, Managing Director</w:t>
      </w:r>
      <w:r>
        <w:br/>
      </w:r>
      <w:r>
        <w:t xml:space="preserve">Signature: _________________________</w:t>
      </w:r>
      <w:r>
        <w:br/>
      </w:r>
      <w:r>
        <w:t xml:space="preserve">Date: _________________________</w:t>
      </w:r>
    </w:p>
    <w:p>
      <w:pPr>
        <w:pStyle w:val="BodyText"/>
      </w:pPr>
      <w:r>
        <w:rPr>
          <w:bCs/>
          <w:b/>
        </w:rPr>
        <w:t xml:space="preserve">For Vattenfall Energy Systems AG (Client)</w:t>
      </w:r>
      <w:r>
        <w:br/>
      </w:r>
      <w:r>
        <w:br/>
      </w:r>
      <w:r>
        <w:t xml:space="preserve">Name: Dr. Markus Weber, Procurement Director</w:t>
      </w:r>
      <w:r>
        <w:br/>
      </w:r>
      <w:r>
        <w:t xml:space="preserve">Signature: _________________________</w:t>
      </w:r>
      <w:r>
        <w:br/>
      </w:r>
      <w:r>
        <w:t xml:space="preserve">Date: _________________________</w:t>
      </w:r>
    </w:p>
    <w:p>
      <w:pPr>
        <w:pStyle w:val="BodyText"/>
      </w:pPr>
      <w:r>
        <w:t xml:space="preserve">ProChem Engineering Solutions GmbH | Industriestraße 42, 10115 Berlin, Germany | www.prochem-berlin.de</w:t>
      </w:r>
    </w:p>
    <w:p>
      <w:pPr>
        <w:pStyle w:val="BodyText"/>
      </w:pPr>
      <w:r>
        <w:t xml:space="preserve">This Quotation Estimate was generated electronically and is valid without a physical stamp. Document ID: QTE-2025-CE-0472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Germany Berlin</dc:title>
  <dc:creator/>
  <dc:language>en</dc:language>
  <cp:keywords/>
  <dcterms:created xsi:type="dcterms:W3CDTF">2026-10-10T02:30:39Z</dcterms:created>
  <dcterms:modified xsi:type="dcterms:W3CDTF">2026-10-10T02:30:39Z</dcterms:modified>
</cp:coreProperties>
</file>

<file path=docProps/custom.xml><?xml version="1.0" encoding="utf-8"?>
<Properties xmlns="http://schemas.openxmlformats.org/officeDocument/2006/custom-properties" xmlns:vt="http://schemas.openxmlformats.org/officeDocument/2006/docPropsVTypes"/>
</file>