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quotation-estimate"/>
    <w:p>
      <w:pPr>
        <w:pStyle w:val="Heading1"/>
      </w:pPr>
      <w:r>
        <w:t xml:space="preserve">Quotation Estimate</w:t>
      </w:r>
    </w:p>
    <w:p>
      <w:pPr>
        <w:pStyle w:val="FirstParagraph"/>
      </w:pPr>
      <w:r>
        <w:t xml:space="preserve">Professional Chemical Engineer Services — Israel Jerusalem</w:t>
      </w:r>
    </w:p>
    <w:bookmarkEnd w:id="20"/>
    <w:p>
      <w:pPr>
        <w:pStyle w:val="BodyText"/>
      </w:pPr>
      <w:r>
        <w:rPr>
          <w:bCs/>
          <w:b/>
        </w:rPr>
        <w:t xml:space="preserve">Quotation No.:</w:t>
      </w:r>
      <w:r>
        <w:t xml:space="preserve"> </w:t>
      </w:r>
      <w:r>
        <w:t xml:space="preserve">QE-2025-JER-0472</w:t>
      </w:r>
      <w:r>
        <w:br/>
      </w:r>
      <w:r>
        <w:rPr>
          <w:bCs/>
          <w:b/>
        </w:rPr>
        <w:t xml:space="preserve">Date Issued:</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Dr. Yael Ben-Ami, P.E.</w:t>
      </w:r>
      <w:r>
        <w:br/>
      </w:r>
      <w:r>
        <w:rPr>
          <w:bCs/>
          <w:b/>
        </w:rPr>
        <w:t xml:space="preserve">Company:</w:t>
      </w:r>
      <w:r>
        <w:t xml:space="preserve"> </w:t>
      </w:r>
      <w:r>
        <w:t xml:space="preserve">Levant Process Engineering Ltd.</w:t>
      </w:r>
      <w:r>
        <w:br/>
      </w:r>
      <w:r>
        <w:rPr>
          <w:bCs/>
          <w:b/>
        </w:rPr>
        <w:t xml:space="preserve">Location:</w:t>
      </w:r>
      <w:r>
        <w:t xml:space="preserve"> </w:t>
      </w:r>
      <w:r>
        <w:t xml:space="preserve">Jerusalem, Israel</w:t>
      </w:r>
    </w:p>
    <w:p>
      <w:pPr>
        <w:pStyle w:val="BodyText"/>
      </w:pPr>
      <w:r>
        <w:rPr>
          <w:bCs/>
          <w:b/>
        </w:rPr>
        <w:t xml:space="preserve">Prepared For:</w:t>
      </w:r>
      <w:r>
        <w:t xml:space="preserve"> </w:t>
      </w:r>
      <w:r>
        <w:t xml:space="preserve">Client Name / Organization</w:t>
      </w:r>
      <w:r>
        <w:br/>
      </w:r>
      <w:r>
        <w:rPr>
          <w:bCs/>
          <w:b/>
        </w:rPr>
        <w:t xml:space="preserve">Project Site:</w:t>
      </w:r>
      <w:r>
        <w:t xml:space="preserve"> </w:t>
      </w:r>
      <w:r>
        <w:t xml:space="preserve">Israel Jerusalem</w:t>
      </w:r>
      <w:r>
        <w:br/>
      </w:r>
      <w:r>
        <w:rPr>
          <w:bCs/>
          <w:b/>
        </w:rPr>
        <w:t xml:space="preserve">Contact:</w:t>
      </w:r>
      <w:r>
        <w:t xml:space="preserve"> </w:t>
      </w:r>
      <w:r>
        <w:t xml:space="preserve">info@levantprocess.co.il</w:t>
      </w:r>
    </w:p>
    <w:bookmarkStart w:id="21" w:name="introduction-and-scope-of-work"/>
    <w:p>
      <w:pPr>
        <w:pStyle w:val="Heading2"/>
      </w:pPr>
      <w:r>
        <w:t xml:space="preserve">1. Introduction and Scope of Work</w:t>
      </w:r>
    </w:p>
    <w:p>
      <w:pPr>
        <w:pStyle w:val="FirstParagraph"/>
      </w:pPr>
      <w:r>
        <w:t xml:space="preserve">This Quotation Estimate is formally issued by Levant Process Engineering Ltd., a licensed engineering firm headquartered in Israel Jerusalem, to provide comprehensive professional services rendered by a qualified Chemical Engineer for the client's industrial process design and optimization project. This document outlines the full scope, deliverables, timelines, and associated costs for the engagement of a senior Chemical Engineer specializing in process safety, reactor design, and environmental compliance within the Israel Jerusalem metropolitan area and surrounding industrial zones.</w:t>
      </w:r>
    </w:p>
    <w:p>
      <w:pPr>
        <w:pStyle w:val="BodyText"/>
      </w:pPr>
      <w:r>
        <w:t xml:space="preserve">The Chemical Engineer assigned to this project will hold a B.Sc. in Chemical Engineering from the Technion – Israel Institute of Technology, a M.Sc. from the Hebrew University of Jerusalem, and is registered with the Israel Engineers Association (IEA). The scope of work encompasses feasibility studies, process flow diagram development, heat and mass transfer calculations, equipment sizing, safety assessments, and regulatory compliance documentation in accordance with Israeli Standards (SII) and relevant Ministry of Environmental Protection guidelines applicable in Israel Jerusalem.</w:t>
      </w:r>
    </w:p>
    <w:bookmarkEnd w:id="21"/>
    <w:bookmarkStart w:id="22" w:name="detailed-service-breakdown"/>
    <w:p>
      <w:pPr>
        <w:pStyle w:val="Heading2"/>
      </w:pPr>
      <w:r>
        <w:t xml:space="preserve">2. Detailed Service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(ILS)</w:t>
            </w:r>
          </w:p>
        </w:tc>
        <w:tc>
          <w:tcPr/>
          <w:p>
            <w:pPr>
              <w:pStyle w:val="Compact"/>
              <w:jc w:val="left"/>
            </w:pPr>
            <w:r>
              <w:t xml:space="preserve">Amount (ILS)</w:t>
            </w:r>
          </w:p>
        </w:tc>
      </w:tr>
      <w:tr>
        <w:tc>
          <w:tcPr/>
          <w:p>
            <w:pPr>
              <w:pStyle w:val="Compact"/>
              <w:jc w:val="left"/>
            </w:pPr>
            <w:r>
              <w:t xml:space="preserve">01</w:t>
            </w:r>
          </w:p>
        </w:tc>
        <w:tc>
          <w:tcPr/>
          <w:p>
            <w:pPr>
              <w:pStyle w:val="Compact"/>
              <w:jc w:val="left"/>
            </w:pPr>
            <w:r>
              <w:t xml:space="preserve">Initial site assessment and process audit at the Israel Jerusalem industrial facility</w:t>
            </w:r>
          </w:p>
        </w:tc>
        <w:tc>
          <w:tcPr/>
          <w:p>
            <w:pPr>
              <w:pStyle w:val="Compact"/>
              <w:jc w:val="left"/>
            </w:pPr>
            <w:r>
              <w:t xml:space="preserve">3 days</w:t>
            </w:r>
          </w:p>
        </w:tc>
        <w:tc>
          <w:tcPr/>
          <w:p>
            <w:pPr>
              <w:pStyle w:val="Compact"/>
              <w:jc w:val="left"/>
            </w:pPr>
            <w:r>
              <w:t xml:space="preserve">4,500</w:t>
            </w:r>
          </w:p>
        </w:tc>
        <w:tc>
          <w:tcPr/>
          <w:p>
            <w:pPr>
              <w:pStyle w:val="Compact"/>
              <w:jc w:val="left"/>
            </w:pPr>
            <w:r>
              <w:t xml:space="preserve">13,500</w:t>
            </w:r>
          </w:p>
        </w:tc>
      </w:tr>
      <w:tr>
        <w:tc>
          <w:tcPr/>
          <w:p>
            <w:pPr>
              <w:pStyle w:val="Compact"/>
              <w:jc w:val="left"/>
            </w:pPr>
            <w:r>
              <w:t xml:space="preserve">02</w:t>
            </w:r>
          </w:p>
        </w:tc>
        <w:tc>
          <w:tcPr/>
          <w:p>
            <w:pPr>
              <w:pStyle w:val="Compact"/>
              <w:jc w:val="left"/>
            </w:pPr>
            <w:r>
              <w:t xml:space="preserve">Development of PFDs, P&amp;IDs, and process design documentation by the Chemical Engineer</w:t>
            </w:r>
          </w:p>
        </w:tc>
        <w:tc>
          <w:tcPr/>
          <w:p>
            <w:pPr>
              <w:pStyle w:val="Compact"/>
              <w:jc w:val="left"/>
            </w:pPr>
            <w:r>
              <w:t xml:space="preserve">15 days</w:t>
            </w:r>
          </w:p>
        </w:tc>
        <w:tc>
          <w:tcPr/>
          <w:p>
            <w:pPr>
              <w:pStyle w:val="Compact"/>
              <w:jc w:val="left"/>
            </w:pPr>
            <w:r>
              <w:t xml:space="preserve">3,800</w:t>
            </w:r>
          </w:p>
        </w:tc>
        <w:tc>
          <w:tcPr/>
          <w:p>
            <w:pPr>
              <w:pStyle w:val="Compact"/>
              <w:jc w:val="left"/>
            </w:pPr>
            <w:r>
              <w:t xml:space="preserve">57,000</w:t>
            </w:r>
          </w:p>
        </w:tc>
      </w:tr>
      <w:tr>
        <w:tc>
          <w:tcPr/>
          <w:p>
            <w:pPr>
              <w:pStyle w:val="Compact"/>
              <w:jc w:val="left"/>
            </w:pPr>
            <w:r>
              <w:t xml:space="preserve">03</w:t>
            </w:r>
          </w:p>
        </w:tc>
        <w:tc>
          <w:tcPr/>
          <w:p>
            <w:pPr>
              <w:pStyle w:val="Compact"/>
              <w:jc w:val="left"/>
            </w:pPr>
            <w:r>
              <w:t xml:space="preserve">Thermodynamic and kinetic modeling of reactor systems (ASPEN Plus / HYSYS)</w:t>
            </w:r>
          </w:p>
        </w:tc>
        <w:tc>
          <w:tcPr/>
          <w:p>
            <w:pPr>
              <w:pStyle w:val="Compact"/>
              <w:jc w:val="left"/>
            </w:pPr>
            <w:r>
              <w:t xml:space="preserve">10 days</w:t>
            </w:r>
          </w:p>
        </w:tc>
        <w:tc>
          <w:tcPr/>
          <w:p>
            <w:pPr>
              <w:pStyle w:val="Compact"/>
              <w:jc w:val="left"/>
            </w:pPr>
            <w:r>
              <w:t xml:space="preserve">4,200</w:t>
            </w:r>
          </w:p>
        </w:tc>
        <w:tc>
          <w:tcPr/>
          <w:p>
            <w:pPr>
              <w:pStyle w:val="Compact"/>
              <w:jc w:val="left"/>
            </w:pPr>
            <w:r>
              <w:t xml:space="preserve">42,000</w:t>
            </w:r>
          </w:p>
        </w:tc>
      </w:tr>
      <w:tr>
        <w:tc>
          <w:tcPr/>
          <w:p>
            <w:pPr>
              <w:pStyle w:val="Compact"/>
              <w:jc w:val="left"/>
            </w:pPr>
            <w:r>
              <w:t xml:space="preserve">04</w:t>
            </w:r>
          </w:p>
        </w:tc>
        <w:tc>
          <w:tcPr/>
          <w:p>
            <w:pPr>
              <w:pStyle w:val="Compact"/>
              <w:jc w:val="left"/>
            </w:pPr>
            <w:r>
              <w:t xml:space="preserve">Process safety analysis (HAZOP, LOPA) and risk mitigation strategy</w:t>
            </w:r>
          </w:p>
        </w:tc>
        <w:tc>
          <w:tcPr/>
          <w:p>
            <w:pPr>
              <w:pStyle w:val="Compact"/>
              <w:jc w:val="left"/>
            </w:pPr>
            <w:r>
              <w:t xml:space="preserve">8 days</w:t>
            </w:r>
          </w:p>
        </w:tc>
        <w:tc>
          <w:tcPr/>
          <w:p>
            <w:pPr>
              <w:pStyle w:val="Compact"/>
              <w:jc w:val="left"/>
            </w:pPr>
            <w:r>
              <w:t xml:space="preserve">4,500</w:t>
            </w:r>
          </w:p>
        </w:tc>
        <w:tc>
          <w:tcPr/>
          <w:p>
            <w:pPr>
              <w:pStyle w:val="Compact"/>
              <w:jc w:val="left"/>
            </w:pPr>
            <w:r>
              <w:t xml:space="preserve">36,000</w:t>
            </w:r>
          </w:p>
        </w:tc>
      </w:tr>
      <w:tr>
        <w:tc>
          <w:tcPr/>
          <w:p>
            <w:pPr>
              <w:pStyle w:val="Compact"/>
              <w:jc w:val="left"/>
            </w:pPr>
            <w:r>
              <w:t xml:space="preserve">05</w:t>
            </w:r>
          </w:p>
        </w:tc>
        <w:tc>
          <w:tcPr/>
          <w:p>
            <w:pPr>
              <w:pStyle w:val="Compact"/>
              <w:jc w:val="left"/>
            </w:pPr>
            <w:r>
              <w:t xml:space="preserve">Environmental impact assessment and waste treatment design per Israel Jerusalem municipal regulations</w:t>
            </w:r>
          </w:p>
        </w:tc>
        <w:tc>
          <w:tcPr/>
          <w:p>
            <w:pPr>
              <w:pStyle w:val="Compact"/>
              <w:jc w:val="left"/>
            </w:pPr>
            <w:r>
              <w:t xml:space="preserve">7 days</w:t>
            </w:r>
          </w:p>
        </w:tc>
        <w:tc>
          <w:tcPr/>
          <w:p>
            <w:pPr>
              <w:pStyle w:val="Compact"/>
              <w:jc w:val="left"/>
            </w:pPr>
            <w:r>
              <w:t xml:space="preserve">4,000</w:t>
            </w:r>
          </w:p>
        </w:tc>
        <w:tc>
          <w:tcPr/>
          <w:p>
            <w:pPr>
              <w:pStyle w:val="Compact"/>
              <w:jc w:val="left"/>
            </w:pPr>
            <w:r>
              <w:t xml:space="preserve">28,000</w:t>
            </w:r>
          </w:p>
        </w:tc>
      </w:tr>
      <w:tr>
        <w:tc>
          <w:tcPr/>
          <w:p>
            <w:pPr>
              <w:pStyle w:val="Compact"/>
              <w:jc w:val="left"/>
            </w:pPr>
            <w:r>
              <w:t xml:space="preserve">06</w:t>
            </w:r>
          </w:p>
        </w:tc>
        <w:tc>
          <w:tcPr/>
          <w:p>
            <w:pPr>
              <w:pStyle w:val="Compact"/>
              <w:jc w:val="left"/>
            </w:pPr>
            <w:r>
              <w:t xml:space="preserve">Equipment specification, vendor coordination, and procurement support</w:t>
            </w:r>
          </w:p>
        </w:tc>
        <w:tc>
          <w:tcPr/>
          <w:p>
            <w:pPr>
              <w:pStyle w:val="Compact"/>
              <w:jc w:val="left"/>
            </w:pPr>
            <w:r>
              <w:t xml:space="preserve">12 days</w:t>
            </w:r>
          </w:p>
        </w:tc>
        <w:tc>
          <w:tcPr/>
          <w:p>
            <w:pPr>
              <w:pStyle w:val="Compact"/>
              <w:jc w:val="left"/>
            </w:pPr>
            <w:r>
              <w:t xml:space="preserve">3,500</w:t>
            </w:r>
          </w:p>
        </w:tc>
        <w:tc>
          <w:tcPr/>
          <w:p>
            <w:pPr>
              <w:pStyle w:val="Compact"/>
              <w:jc w:val="left"/>
            </w:pPr>
            <w:r>
              <w:t xml:space="preserve">42,000</w:t>
            </w:r>
          </w:p>
        </w:tc>
      </w:tr>
      <w:tr>
        <w:tc>
          <w:tcPr/>
          <w:p>
            <w:pPr>
              <w:pStyle w:val="Compact"/>
              <w:jc w:val="left"/>
            </w:pPr>
            <w:r>
              <w:t xml:space="preserve">07</w:t>
            </w:r>
          </w:p>
        </w:tc>
        <w:tc>
          <w:tcPr/>
          <w:p>
            <w:pPr>
              <w:pStyle w:val="Compact"/>
              <w:jc w:val="left"/>
            </w:pPr>
            <w:r>
              <w:t xml:space="preserve">Commissioning support, startup supervision, and performance guarantee testing</w:t>
            </w:r>
          </w:p>
        </w:tc>
        <w:tc>
          <w:tcPr/>
          <w:p>
            <w:pPr>
              <w:pStyle w:val="Compact"/>
              <w:jc w:val="left"/>
            </w:pPr>
            <w:r>
              <w:t xml:space="preserve">10 days</w:t>
            </w:r>
          </w:p>
        </w:tc>
        <w:tc>
          <w:tcPr/>
          <w:p>
            <w:pPr>
              <w:pStyle w:val="Compact"/>
              <w:jc w:val="left"/>
            </w:pPr>
            <w:r>
              <w:t xml:space="preserve">4,800</w:t>
            </w:r>
          </w:p>
        </w:tc>
        <w:tc>
          <w:tcPr/>
          <w:p>
            <w:pPr>
              <w:pStyle w:val="Compact"/>
              <w:jc w:val="left"/>
            </w:pPr>
            <w:r>
              <w:t xml:space="preserve">48,000</w:t>
            </w:r>
          </w:p>
        </w:tc>
      </w:tr>
      <w:tr>
        <w:tc>
          <w:tcPr/>
          <w:p>
            <w:pPr>
              <w:pStyle w:val="Compact"/>
              <w:jc w:val="left"/>
            </w:pPr>
            <w:r>
              <w:t xml:space="preserve">08</w:t>
            </w:r>
          </w:p>
        </w:tc>
        <w:tc>
          <w:tcPr/>
          <w:p>
            <w:pPr>
              <w:pStyle w:val="Compact"/>
              <w:jc w:val="left"/>
            </w:pPr>
            <w:r>
              <w:t xml:space="preserve">Final technical report, as-built documentation, and regulatory submission package</w:t>
            </w:r>
          </w:p>
        </w:tc>
        <w:tc>
          <w:tcPr/>
          <w:p>
            <w:pPr>
              <w:pStyle w:val="Compact"/>
              <w:jc w:val="left"/>
            </w:pPr>
            <w:r>
              <w:t xml:space="preserve">5 days</w:t>
            </w:r>
          </w:p>
        </w:tc>
        <w:tc>
          <w:tcPr/>
          <w:p>
            <w:pPr>
              <w:pStyle w:val="Compact"/>
              <w:jc w:val="left"/>
            </w:pPr>
            <w:r>
              <w:t xml:space="preserve">3,200</w:t>
            </w:r>
          </w:p>
        </w:tc>
        <w:tc>
          <w:tcPr/>
          <w:p>
            <w:pPr>
              <w:pStyle w:val="Compact"/>
              <w:jc w:val="left"/>
            </w:pPr>
            <w:r>
              <w:t xml:space="preserve">16,000</w:t>
            </w:r>
          </w:p>
        </w:tc>
      </w:tr>
      <w:tr>
        <w:tc>
          <w:tcPr>
            <w:gridSpan w:val="4"/>
          </w:tcPr>
          <w:p>
            <w:pPr>
              <w:pStyle w:val="Compact"/>
              <w:jc w:val="left"/>
            </w:pPr>
            <w:r>
              <w:t xml:space="preserve">Subtotal (Professional Services)</w:t>
            </w:r>
          </w:p>
        </w:tc>
        <w:tc>
          <w:tcPr/>
          <w:p>
            <w:pPr>
              <w:pStyle w:val="Compact"/>
              <w:jc w:val="left"/>
            </w:pPr>
            <w:r>
              <w:t xml:space="preserve">282,500</w:t>
            </w:r>
          </w:p>
        </w:tc>
      </w:tr>
      <w:tr>
        <w:tc>
          <w:tcPr>
            <w:gridSpan w:val="4"/>
          </w:tcPr>
          <w:p>
            <w:pPr>
              <w:pStyle w:val="Compact"/>
              <w:jc w:val="left"/>
            </w:pPr>
            <w:r>
              <w:t xml:space="preserve">VAT (18% – Israel Standard Rate)</w:t>
            </w:r>
          </w:p>
        </w:tc>
        <w:tc>
          <w:tcPr/>
          <w:p>
            <w:pPr>
              <w:pStyle w:val="Compact"/>
              <w:jc w:val="left"/>
            </w:pPr>
            <w:r>
              <w:t xml:space="preserve">50,850</w:t>
            </w:r>
          </w:p>
        </w:tc>
      </w:tr>
      <w:tr>
        <w:tc>
          <w:tcPr>
            <w:gridSpan w:val="4"/>
          </w:tcPr>
          <w:p>
            <w:pPr>
              <w:pStyle w:val="Compact"/>
              <w:jc w:val="left"/>
            </w:pPr>
            <w:r>
              <w:t xml:space="preserve">TOTAL ESTIMATED COST (ILS)</w:t>
            </w:r>
          </w:p>
        </w:tc>
        <w:tc>
          <w:tcPr/>
          <w:p>
            <w:pPr>
              <w:pStyle w:val="Compact"/>
              <w:jc w:val="left"/>
            </w:pPr>
            <w:r>
              <w:t xml:space="preserve">333,350</w:t>
            </w:r>
          </w:p>
        </w:tc>
      </w:tr>
    </w:tbl>
    <w:bookmarkEnd w:id="22"/>
    <w:bookmarkStart w:id="23" w:name="terms-and-conditions"/>
    <w:p>
      <w:pPr>
        <w:pStyle w:val="Heading2"/>
      </w:pPr>
      <w:r>
        <w:t xml:space="preserve">3. Terms and Conditions</w:t>
      </w:r>
    </w:p>
    <w:p>
      <w:pPr>
        <w:numPr>
          <w:ilvl w:val="0"/>
          <w:numId w:val="1001"/>
        </w:numPr>
        <w:pStyle w:val="Compact"/>
      </w:pPr>
      <w:r>
        <w:t xml:space="preserve">This Quotation Estimate is valid for thirty (30) calendar days from the date of issue. Any acceptance beyond this period requires written reconfirmation of pricing by Levant Process Engineering Ltd.</w:t>
      </w:r>
    </w:p>
    <w:p>
      <w:pPr>
        <w:numPr>
          <w:ilvl w:val="0"/>
          <w:numId w:val="1001"/>
        </w:numPr>
        <w:pStyle w:val="Compact"/>
      </w:pPr>
      <w:r>
        <w:t xml:space="preserve">Payment terms: 30% advance upon contract signing, 40% upon completion of design documentation (Items 02–05), and 30% upon final commissioning and handover in Israel Jerusalem.</w:t>
      </w:r>
    </w:p>
    <w:p>
      <w:pPr>
        <w:numPr>
          <w:ilvl w:val="0"/>
          <w:numId w:val="1001"/>
        </w:numPr>
        <w:pStyle w:val="Compact"/>
      </w:pPr>
      <w:r>
        <w:t xml:space="preserve">All work performed by the Chemical Engineer shall comply with the Israeli Building Code, SII standards, and the regulations of the Israel Ministry of Environmental Protection as applicable to the Israel Jerusalem jurisdiction.</w:t>
      </w:r>
    </w:p>
    <w:p>
      <w:pPr>
        <w:numPr>
          <w:ilvl w:val="0"/>
          <w:numId w:val="1001"/>
        </w:numPr>
        <w:pStyle w:val="Compact"/>
      </w:pPr>
      <w:r>
        <w:t xml:space="preserve">Travel and accommodation expenses within the Israel Jerusalem metropolitan area are included. Travel to sites outside the 50 km radius of Jerusalem will be billed separately at cost plus 10% administrative surcharge.</w:t>
      </w:r>
    </w:p>
    <w:p>
      <w:pPr>
        <w:numPr>
          <w:ilvl w:val="0"/>
          <w:numId w:val="1001"/>
        </w:numPr>
        <w:pStyle w:val="Compact"/>
      </w:pPr>
      <w:r>
        <w:t xml:space="preserve">Intellectual property generated during the engagement, including all process designs, calculations, and reports produced by the Chemical Engineer, shall remain the exclusive property of the client upon full payment.</w:t>
      </w:r>
    </w:p>
    <w:p>
      <w:pPr>
        <w:numPr>
          <w:ilvl w:val="0"/>
          <w:numId w:val="1001"/>
        </w:numPr>
        <w:pStyle w:val="Compact"/>
      </w:pPr>
      <w:r>
        <w:t xml:space="preserve">Force majeure events, including but not limited to civil unrest, government-mandated shutdowns, or natural disasters affecting Israel Jerusalem, shall extend project timelines proportionally without penalty to either party.</w:t>
      </w:r>
    </w:p>
    <w:p>
      <w:pPr>
        <w:numPr>
          <w:ilvl w:val="0"/>
          <w:numId w:val="1001"/>
        </w:numPr>
        <w:pStyle w:val="Compact"/>
      </w:pPr>
      <w:r>
        <w:t xml:space="preserve">Disputes arising from this Quotation Estimate shall be resolved through arbitration in Jerusalem, Israel, in accordance with the Israeli Arbitration Law, 5728-1968.</w:t>
      </w:r>
    </w:p>
    <w:bookmarkEnd w:id="23"/>
    <w:bookmarkStart w:id="24" w:name="assumptions-and-exclusions"/>
    <w:p>
      <w:pPr>
        <w:pStyle w:val="Heading2"/>
      </w:pPr>
      <w:r>
        <w:t xml:space="preserve">4. Assumptions and Exclusions</w:t>
      </w:r>
    </w:p>
    <w:p>
      <w:pPr>
        <w:pStyle w:val="FirstParagraph"/>
      </w:pPr>
      <w:r>
        <w:t xml:space="preserve">This Quotation Estimate assumes that the client will provide timely access to the Israel Jerusalem project site, existing process data, utility specifications, and any prior engineering documentation. The following items are excluded from this estimate: civil and structural engineering, electrical and instrumentation design, third-party laboratory testing, and any scope changes exceeding 10% of the original project value. Additional work will be subject to a revised Quotation Estimate issued by the responsible Chemical Engineer.</w:t>
      </w:r>
    </w:p>
    <w:bookmarkEnd w:id="24"/>
    <w:bookmarkStart w:id="25" w:name="acceptance"/>
    <w:p>
      <w:pPr>
        <w:pStyle w:val="Heading2"/>
      </w:pPr>
      <w:r>
        <w:t xml:space="preserve">5. Acceptance</w:t>
      </w:r>
    </w:p>
    <w:p>
      <w:pPr>
        <w:pStyle w:val="FirstParagraph"/>
      </w:pPr>
      <w:r>
        <w:t xml:space="preserve">By signing below, the client acknowledges and accepts the terms, scope, and pricing outlined in this Quotation Estimate for the engagement of a Chemical Engineer for the specified project in Israel Jerusalem. This signed document constitutes a binding agreement between both parties.</w:t>
      </w:r>
    </w:p>
    <w:p>
      <w:pPr>
        <w:pStyle w:val="BodyText"/>
      </w:pPr>
      <w:r>
        <w:rPr>
          <w:bCs/>
          <w:b/>
        </w:rPr>
        <w:t xml:space="preserve">For Levant Process Engineering Ltd.</w:t>
      </w:r>
      <w:r>
        <w:br/>
      </w:r>
      <w:r>
        <w:t xml:space="preserve">Dr. Yael Ben-Ami, P.E. – Chemical Engineer</w:t>
      </w:r>
      <w:r>
        <w:br/>
      </w:r>
      <w:r>
        <w:t xml:space="preserve">Date: _______________</w:t>
      </w:r>
    </w:p>
    <w:p>
      <w:pPr>
        <w:pStyle w:val="BodyText"/>
      </w:pPr>
      <w:r>
        <w:rPr>
          <w:bCs/>
          <w:b/>
        </w:rPr>
        <w:t xml:space="preserve">For the Client</w:t>
      </w:r>
      <w:r>
        <w:br/>
      </w:r>
      <w:r>
        <w:t xml:space="preserve">Authorized Representative</w:t>
      </w:r>
      <w:r>
        <w:br/>
      </w:r>
      <w:r>
        <w:t xml:space="preserve">Date: _______________</w:t>
      </w:r>
    </w:p>
    <w:p>
      <w:pPr>
        <w:pStyle w:val="BodyText"/>
      </w:pPr>
      <w:r>
        <w:t xml:space="preserve">Levant Process Engineering Ltd. | 42 King George Street, Jerusalem 97100, Israel | Tel: +972-2-555-0147 | Email: info@levantprocess.co.il</w:t>
      </w:r>
    </w:p>
    <w:p>
      <w:pPr>
        <w:pStyle w:val="BodyText"/>
      </w:pPr>
      <w:r>
        <w:t xml:space="preserve">This Quotation Estimate was prepared by a licensed Chemical Engineer and is subject to the terms stated herein. Document Ref: QE-2025-JER-0472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Chemical Engineer Services - Israel Jerusalem</dc:title>
  <dc:creator/>
  <dc:language>en</dc:language>
  <cp:keywords/>
  <dcterms:created xsi:type="dcterms:W3CDTF">2026-10-10T02:33:13Z</dcterms:created>
  <dcterms:modified xsi:type="dcterms:W3CDTF">2026-10-10T02:33:13Z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