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Professional Chemical Engineer Services</w:t>
      </w:r>
    </w:p>
    <w:p>
      <w:pPr>
        <w:pStyle w:val="BodyText"/>
      </w:pPr>
      <w:r>
        <w:t xml:space="preserve">Specialized Engineering Consultancy &amp; Process Design</w:t>
      </w:r>
    </w:p>
    <w:p>
      <w:pPr>
        <w:pStyle w:val="BodyText"/>
      </w:pPr>
      <w:r>
        <w:t xml:space="preserve">Israel Tel Aviv — Yarkon Industrial Zone, 45 HaYarkon Street, Tel Aviv-Yafo, 6955001, Israel</w:t>
      </w:r>
    </w:p>
    <w:p>
      <w:pPr>
        <w:pStyle w:val="BodyText"/>
      </w:pPr>
      <w:r>
        <w:t xml:space="preserve">Tel: +972-3-555-0142 | Email: quotes@chemeng-tlv.co.il | VAT: 51-800-234-567</w:t>
      </w:r>
    </w:p>
    <w:bookmarkEnd w:id="20"/>
    <w:p>
      <w:pPr>
        <w:pStyle w:val="BodyText"/>
      </w:pPr>
      <w:r>
        <w:rPr>
          <w:bCs/>
          <w:b/>
        </w:rPr>
        <w:t xml:space="preserve">Quotation No.:</w:t>
      </w:r>
      <w:r>
        <w:t xml:space="preserve"> </w:t>
      </w:r>
      <w:r>
        <w:t xml:space="preserve">QE-2025-TLV-0847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Israeli New Shekel (ILS / NIS)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Negev Advanced Materials Ltd.</w:t>
            </w:r>
          </w:p>
        </w:tc>
        <w:tc>
          <w:tcPr/>
          <w:p>
            <w:pPr>
              <w:pStyle w:val="Compact"/>
              <w:jc w:val="left"/>
            </w:pPr>
            <w:r>
              <w:rPr>
                <w:bCs/>
                <w:b/>
              </w:rPr>
              <w:t xml:space="preserve">Contact Person:</w:t>
            </w:r>
            <w:r>
              <w:t xml:space="preserve"> </w:t>
            </w:r>
            <w:r>
              <w:t xml:space="preserve">Dr. Yael Ben-David, Operations Director</w:t>
            </w:r>
          </w:p>
        </w:tc>
      </w:tr>
      <w:tr>
        <w:tc>
          <w:tcPr/>
          <w:p>
            <w:pPr>
              <w:pStyle w:val="Compact"/>
              <w:jc w:val="left"/>
            </w:pPr>
            <w:r>
              <w:rPr>
                <w:bCs/>
                <w:b/>
              </w:rPr>
              <w:t xml:space="preserve">Address:</w:t>
            </w:r>
            <w:r>
              <w:t xml:space="preserve"> </w:t>
            </w:r>
            <w:r>
              <w:t xml:space="preserve">120 Allenby Street, Tel Aviv-Yafo, 6500201, Israel</w:t>
            </w:r>
          </w:p>
        </w:tc>
        <w:tc>
          <w:tcPr/>
          <w:p>
            <w:pPr>
              <w:pStyle w:val="Compact"/>
              <w:jc w:val="left"/>
            </w:pPr>
            <w:r>
              <w:rPr>
                <w:bCs/>
                <w:b/>
              </w:rPr>
              <w:t xml:space="preserve">Phone:</w:t>
            </w:r>
            <w:r>
              <w:t xml:space="preserve"> </w:t>
            </w:r>
            <w:r>
              <w:t xml:space="preserve">+972-3-622-8890</w:t>
            </w:r>
          </w:p>
        </w:tc>
      </w:tr>
      <w:tr>
        <w:tc>
          <w:tcPr/>
          <w:p>
            <w:pPr>
              <w:pStyle w:val="Compact"/>
              <w:jc w:val="left"/>
            </w:pPr>
            <w:r>
              <w:rPr>
                <w:bCs/>
                <w:b/>
              </w:rPr>
              <w:t xml:space="preserve">Email:</w:t>
            </w:r>
            <w:r>
              <w:t xml:space="preserve"> </w:t>
            </w:r>
            <w:r>
              <w:t xml:space="preserve">yael.bendavid@negevmaterials.co.il</w:t>
            </w:r>
          </w:p>
        </w:tc>
        <w:tc>
          <w:tcPr/>
          <w:p>
            <w:pPr>
              <w:pStyle w:val="Compact"/>
              <w:jc w:val="left"/>
            </w:pPr>
            <w:r>
              <w:rPr>
                <w:bCs/>
                <w:b/>
              </w:rPr>
              <w:t xml:space="preserve">VAT No.:</w:t>
            </w:r>
            <w:r>
              <w:t xml:space="preserve"> </w:t>
            </w:r>
            <w:r>
              <w:t xml:space="preserve">51-734-982-105</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prepared in response to the formal request submitted by Negev Advanced Materials Ltd. for the engagement of a senior</w:t>
      </w:r>
      <w:r>
        <w:t xml:space="preserve"> </w:t>
      </w:r>
      <w:r>
        <w:t xml:space="preserve">Chemical Engineer</w:t>
      </w:r>
      <w:r>
        <w:t xml:space="preserve"> </w:t>
      </w:r>
      <w:r>
        <w:t xml:space="preserve">to provide comprehensive process design, safety assessment, and regulatory compliance services for a new pharmaceutical-grade solvent recovery facility to be constructed in the industrial district of</w:t>
      </w:r>
      <w:r>
        <w:t xml:space="preserve"> </w:t>
      </w:r>
      <w:r>
        <w:t xml:space="preserve">Israel Tel Aviv</w:t>
      </w:r>
      <w:r>
        <w:t xml:space="preserve">. The scope encompasses all engineering deliverables required to bring the project from conceptual design through to detailed engineering documentation, in full accordance with the Israeli Standards Institute (SII) regulations, the Ministry of Environmental Protection guidelines, and the Israel Occupational Safety, Health and Environment Service (MISHAL) requirements.</w:t>
      </w:r>
    </w:p>
    <w:p>
      <w:pPr>
        <w:pStyle w:val="BodyText"/>
      </w:pPr>
      <w:r>
        <w:t xml:space="preserve">The</w:t>
      </w:r>
      <w:r>
        <w:t xml:space="preserve"> </w:t>
      </w:r>
      <w:r>
        <w:t xml:space="preserve">Chemical Engineer</w:t>
      </w:r>
      <w:r>
        <w:t xml:space="preserve"> </w:t>
      </w:r>
      <w:r>
        <w:t xml:space="preserve">assigned to this project, Mr. Avi Rosenfeld, P.E. (registered with the Israel Engineers Association, License No. 4472-CE), holds over fifteen years of experience in process engineering, reactor design, heat and mass transfer optimization, and hazardous materials handling. His expertise is particularly relevant to the pharmaceutical and fine-chemicals sectors operating within the</w:t>
      </w:r>
      <w:r>
        <w:t xml:space="preserve"> </w:t>
      </w:r>
      <w:r>
        <w:t xml:space="preserve">Israel Tel Aviv</w:t>
      </w:r>
      <w:r>
        <w:t xml:space="preserve"> </w:t>
      </w:r>
      <w:r>
        <w:t xml:space="preserve">metropolitan industrial corridor.</w:t>
      </w:r>
    </w:p>
    <w:bookmarkEnd w:id="22"/>
    <w:bookmarkStart w:id="23" w:name="itemized-services-and-cost-breakdown"/>
    <w:p>
      <w:pPr>
        <w:pStyle w:val="Heading2"/>
      </w:pPr>
      <w:r>
        <w:t xml:space="preserve">3.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(ILS/hr)</w:t>
            </w:r>
          </w:p>
        </w:tc>
        <w:tc>
          <w:tcPr/>
          <w:p>
            <w:pPr>
              <w:pStyle w:val="Compact"/>
              <w:jc w:val="left"/>
            </w:pPr>
            <w:r>
              <w:t xml:space="preserve">Hours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Initial site survey and feasibility study at the</w:t>
            </w:r>
            <w:r>
              <w:t xml:space="preserve"> </w:t>
            </w:r>
            <w:r>
              <w:t xml:space="preserve">Israel Tel Aviv</w:t>
            </w:r>
            <w:r>
              <w:t xml:space="preserve"> </w:t>
            </w:r>
            <w:r>
              <w:t xml:space="preserve">industrial premises, including environmental baseline assessment and utility capacity review</w:t>
            </w:r>
          </w:p>
        </w:tc>
        <w:tc>
          <w:tcPr/>
          <w:p>
            <w:pPr>
              <w:pStyle w:val="Compact"/>
              <w:jc w:val="left"/>
            </w:pPr>
            <w:r>
              <w:t xml:space="preserve">2 weeks</w:t>
            </w:r>
          </w:p>
        </w:tc>
        <w:tc>
          <w:tcPr/>
          <w:p>
            <w:pPr>
              <w:pStyle w:val="Compact"/>
              <w:jc w:val="left"/>
            </w:pPr>
            <w:r>
              <w:t xml:space="preserve">1,850</w:t>
            </w:r>
          </w:p>
        </w:tc>
        <w:tc>
          <w:tcPr/>
          <w:p>
            <w:pPr>
              <w:pStyle w:val="Compact"/>
              <w:jc w:val="left"/>
            </w:pPr>
            <w:r>
              <w:t xml:space="preserve">40</w:t>
            </w:r>
          </w:p>
        </w:tc>
        <w:tc>
          <w:tcPr/>
          <w:p>
            <w:pPr>
              <w:pStyle w:val="Compact"/>
              <w:jc w:val="left"/>
            </w:pPr>
            <w:r>
              <w:t xml:space="preserve">74,000</w:t>
            </w:r>
          </w:p>
        </w:tc>
      </w:tr>
      <w:tr>
        <w:tc>
          <w:tcPr/>
          <w:p>
            <w:pPr>
              <w:pStyle w:val="Compact"/>
              <w:jc w:val="left"/>
            </w:pPr>
            <w:r>
              <w:t xml:space="preserve">2</w:t>
            </w:r>
          </w:p>
        </w:tc>
        <w:tc>
          <w:tcPr/>
          <w:p>
            <w:pPr>
              <w:pStyle w:val="Compact"/>
              <w:jc w:val="left"/>
            </w:pPr>
            <w:r>
              <w:t xml:space="preserve">Process flow diagram (PFD) and piping and instrumentation diagram (P&amp;ID) development for the solvent recovery unit, prepared by the lead</w:t>
            </w:r>
            <w:r>
              <w:t xml:space="preserve"> </w:t>
            </w:r>
            <w:r>
              <w:t xml:space="preserve">Chemical Engineer</w:t>
            </w:r>
          </w:p>
        </w:tc>
        <w:tc>
          <w:tcPr/>
          <w:p>
            <w:pPr>
              <w:pStyle w:val="Compact"/>
              <w:jc w:val="left"/>
            </w:pPr>
            <w:r>
              <w:t xml:space="preserve">4 weeks</w:t>
            </w:r>
          </w:p>
        </w:tc>
        <w:tc>
          <w:tcPr/>
          <w:p>
            <w:pPr>
              <w:pStyle w:val="Compact"/>
              <w:jc w:val="left"/>
            </w:pPr>
            <w:r>
              <w:t xml:space="preserve">1,850</w:t>
            </w:r>
          </w:p>
        </w:tc>
        <w:tc>
          <w:tcPr/>
          <w:p>
            <w:pPr>
              <w:pStyle w:val="Compact"/>
              <w:jc w:val="left"/>
            </w:pPr>
            <w:r>
              <w:t xml:space="preserve">120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Thermal and hydraulic calculations, reactor sizing, column design, and heat exchanger network optimization</w:t>
            </w:r>
          </w:p>
        </w:tc>
        <w:tc>
          <w:tcPr/>
          <w:p>
            <w:pPr>
              <w:pStyle w:val="Compact"/>
              <w:jc w:val="left"/>
            </w:pPr>
            <w:r>
              <w:t xml:space="preserve">3 weeks</w:t>
            </w:r>
          </w:p>
        </w:tc>
        <w:tc>
          <w:tcPr/>
          <w:p>
            <w:pPr>
              <w:pStyle w:val="Compact"/>
              <w:jc w:val="left"/>
            </w:pPr>
            <w:r>
              <w:t xml:space="preserve">1,850</w:t>
            </w:r>
          </w:p>
        </w:tc>
        <w:tc>
          <w:tcPr/>
          <w:p>
            <w:pPr>
              <w:pStyle w:val="Compact"/>
              <w:jc w:val="left"/>
            </w:pPr>
            <w:r>
              <w:t xml:space="preserve">96</w:t>
            </w:r>
          </w:p>
        </w:tc>
        <w:tc>
          <w:tcPr/>
          <w:p>
            <w:pPr>
              <w:pStyle w:val="Compact"/>
              <w:jc w:val="left"/>
            </w:pPr>
            <w:r>
              <w:t xml:space="preserve">177,600</w:t>
            </w:r>
          </w:p>
        </w:tc>
      </w:tr>
      <w:tr>
        <w:tc>
          <w:tcPr/>
          <w:p>
            <w:pPr>
              <w:pStyle w:val="Compact"/>
              <w:jc w:val="left"/>
            </w:pPr>
            <w:r>
              <w:t xml:space="preserve">4</w:t>
            </w:r>
          </w:p>
        </w:tc>
        <w:tc>
          <w:tcPr/>
          <w:p>
            <w:pPr>
              <w:pStyle w:val="Compact"/>
              <w:jc w:val="left"/>
            </w:pPr>
            <w:r>
              <w:t xml:space="preserve">Hazard and Operability Study (HAZOP) and quantitative risk assessment (QRA) in compliance with MISHAL regulations applicable in</w:t>
            </w:r>
            <w:r>
              <w:t xml:space="preserve"> </w:t>
            </w:r>
            <w:r>
              <w:t xml:space="preserve">Israel Tel Aviv</w:t>
            </w:r>
          </w:p>
        </w:tc>
        <w:tc>
          <w:tcPr/>
          <w:p>
            <w:pPr>
              <w:pStyle w:val="Compact"/>
              <w:jc w:val="left"/>
            </w:pPr>
            <w:r>
              <w:t xml:space="preserve">2 weeks</w:t>
            </w:r>
          </w:p>
        </w:tc>
        <w:tc>
          <w:tcPr/>
          <w:p>
            <w:pPr>
              <w:pStyle w:val="Compact"/>
              <w:jc w:val="left"/>
            </w:pPr>
            <w:r>
              <w:t xml:space="preserve">2,100</w:t>
            </w:r>
          </w:p>
        </w:tc>
        <w:tc>
          <w:tcPr/>
          <w:p>
            <w:pPr>
              <w:pStyle w:val="Compact"/>
              <w:jc w:val="left"/>
            </w:pPr>
            <w:r>
              <w:t xml:space="preserve">48</w:t>
            </w:r>
          </w:p>
        </w:tc>
        <w:tc>
          <w:tcPr/>
          <w:p>
            <w:pPr>
              <w:pStyle w:val="Compact"/>
              <w:jc w:val="left"/>
            </w:pPr>
            <w:r>
              <w:t xml:space="preserve">100,800</w:t>
            </w:r>
          </w:p>
        </w:tc>
      </w:tr>
      <w:tr>
        <w:tc>
          <w:tcPr/>
          <w:p>
            <w:pPr>
              <w:pStyle w:val="Compact"/>
              <w:jc w:val="left"/>
            </w:pPr>
            <w:r>
              <w:t xml:space="preserve">5</w:t>
            </w:r>
          </w:p>
        </w:tc>
        <w:tc>
          <w:tcPr/>
          <w:p>
            <w:pPr>
              <w:pStyle w:val="Compact"/>
              <w:jc w:val="left"/>
            </w:pPr>
            <w:r>
              <w:t xml:space="preserve">Preparation of environmental impact documentation and permits application support for the Ministry of Environmental Protection, Tel Aviv Regional Authority</w:t>
            </w:r>
          </w:p>
        </w:tc>
        <w:tc>
          <w:tcPr/>
          <w:p>
            <w:pPr>
              <w:pStyle w:val="Compact"/>
              <w:jc w:val="left"/>
            </w:pPr>
            <w:r>
              <w:t xml:space="preserve">3 weeks</w:t>
            </w:r>
          </w:p>
        </w:tc>
        <w:tc>
          <w:tcPr/>
          <w:p>
            <w:pPr>
              <w:pStyle w:val="Compact"/>
              <w:jc w:val="left"/>
            </w:pPr>
            <w:r>
              <w:t xml:space="preserve">1,650</w:t>
            </w:r>
          </w:p>
        </w:tc>
        <w:tc>
          <w:tcPr/>
          <w:p>
            <w:pPr>
              <w:pStyle w:val="Compact"/>
              <w:jc w:val="left"/>
            </w:pPr>
            <w:r>
              <w:t xml:space="preserve">60</w:t>
            </w:r>
          </w:p>
        </w:tc>
        <w:tc>
          <w:tcPr/>
          <w:p>
            <w:pPr>
              <w:pStyle w:val="Compact"/>
              <w:jc w:val="left"/>
            </w:pPr>
            <w:r>
              <w:t xml:space="preserve">99,000</w:t>
            </w:r>
          </w:p>
        </w:tc>
      </w:tr>
      <w:tr>
        <w:tc>
          <w:tcPr/>
          <w:p>
            <w:pPr>
              <w:pStyle w:val="Compact"/>
              <w:jc w:val="left"/>
            </w:pPr>
            <w:r>
              <w:t xml:space="preserve">6</w:t>
            </w:r>
          </w:p>
        </w:tc>
        <w:tc>
          <w:tcPr/>
          <w:p>
            <w:pPr>
              <w:pStyle w:val="Compact"/>
              <w:jc w:val="left"/>
            </w:pPr>
            <w:r>
              <w:t xml:space="preserve">Commissioning support, operator training (4 sessions), and 90-day post-commissioning technical advisory</w:t>
            </w:r>
          </w:p>
        </w:tc>
        <w:tc>
          <w:tcPr/>
          <w:p>
            <w:pPr>
              <w:pStyle w:val="Compact"/>
              <w:jc w:val="left"/>
            </w:pPr>
            <w:r>
              <w:t xml:space="preserve">6 weeks</w:t>
            </w:r>
          </w:p>
        </w:tc>
        <w:tc>
          <w:tcPr/>
          <w:p>
            <w:pPr>
              <w:pStyle w:val="Compact"/>
              <w:jc w:val="left"/>
            </w:pPr>
            <w:r>
              <w:t xml:space="preserve">1,500</w:t>
            </w:r>
          </w:p>
        </w:tc>
        <w:tc>
          <w:tcPr/>
          <w:p>
            <w:pPr>
              <w:pStyle w:val="Compact"/>
              <w:jc w:val="left"/>
            </w:pPr>
            <w:r>
              <w:t xml:space="preserve">80</w:t>
            </w:r>
          </w:p>
        </w:tc>
        <w:tc>
          <w:tcPr/>
          <w:p>
            <w:pPr>
              <w:pStyle w:val="Compact"/>
              <w:jc w:val="left"/>
            </w:pPr>
            <w:r>
              <w:t xml:space="preserve">120,000</w:t>
            </w:r>
          </w:p>
        </w:tc>
      </w:tr>
      <w:tr>
        <w:tc>
          <w:tcPr>
            <w:gridSpan w:val="5"/>
          </w:tcPr>
          <w:p>
            <w:pPr>
              <w:pStyle w:val="Compact"/>
              <w:jc w:val="left"/>
            </w:pPr>
            <w:r>
              <w:t xml:space="preserve">TOTAL ESTIMATED COST (excl. VAT 18%)</w:t>
            </w:r>
          </w:p>
        </w:tc>
        <w:tc>
          <w:tcPr/>
          <w:p>
            <w:pPr>
              <w:pStyle w:val="Compact"/>
              <w:jc w:val="left"/>
            </w:pPr>
            <w:r>
              <w:t xml:space="preserve">793,400 ILS</w:t>
            </w:r>
          </w:p>
        </w:tc>
      </w:tr>
      <w:tr>
        <w:tc>
          <w:tcPr>
            <w:gridSpan w:val="5"/>
          </w:tcPr>
          <w:p>
            <w:pPr>
              <w:pStyle w:val="Compact"/>
              <w:jc w:val="left"/>
            </w:pPr>
            <w:r>
              <w:t xml:space="preserve">VAT (18%)</w:t>
            </w:r>
          </w:p>
        </w:tc>
        <w:tc>
          <w:tcPr/>
          <w:p>
            <w:pPr>
              <w:pStyle w:val="Compact"/>
              <w:jc w:val="left"/>
            </w:pPr>
            <w:r>
              <w:t xml:space="preserve">142,812 ILS</w:t>
            </w:r>
          </w:p>
        </w:tc>
      </w:tr>
      <w:tr>
        <w:tc>
          <w:tcPr>
            <w:gridSpan w:val="5"/>
          </w:tcPr>
          <w:p>
            <w:pPr>
              <w:pStyle w:val="Compact"/>
              <w:jc w:val="left"/>
            </w:pPr>
            <w:r>
              <w:t xml:space="preserve">GRAND TOTAL (incl. VAT)</w:t>
            </w:r>
          </w:p>
        </w:tc>
        <w:tc>
          <w:tcPr/>
          <w:p>
            <w:pPr>
              <w:pStyle w:val="Compact"/>
              <w:jc w:val="left"/>
            </w:pPr>
            <w:r>
              <w:t xml:space="preserve">936,212 ILS</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market conditions in</w:t>
      </w:r>
      <w:r>
        <w:t xml:space="preserve"> </w:t>
      </w:r>
      <w:r>
        <w:t xml:space="preserve">Israel Tel Aviv</w:t>
      </w:r>
      <w:r>
        <w:t xml:space="preserve">.</w:t>
      </w:r>
    </w:p>
    <w:p>
      <w:pPr>
        <w:numPr>
          <w:ilvl w:val="0"/>
          <w:numId w:val="1001"/>
        </w:numPr>
        <w:pStyle w:val="Compact"/>
      </w:pPr>
      <w:r>
        <w:t xml:space="preserve">Payment terms: 30% advance upon contract signing, 40% upon completion of detailed engineering deliverables (Items 2 and 3), and 30% upon successful commissioning and handover (Item 6).</w:t>
      </w:r>
    </w:p>
    <w:p>
      <w:pPr>
        <w:numPr>
          <w:ilvl w:val="0"/>
          <w:numId w:val="1001"/>
        </w:numPr>
        <w:pStyle w:val="Compact"/>
      </w:pPr>
      <w:r>
        <w:t xml:space="preserve">All invoices are payable within fourteen (14) days of receipt. Late payments shall accrue interest at the rate prescribed by the Israeli Late Payment Law (Hokhachat Toldot).</w:t>
      </w:r>
    </w:p>
    <w:p>
      <w:pPr>
        <w:numPr>
          <w:ilvl w:val="0"/>
          <w:numId w:val="1001"/>
        </w:numPr>
        <w:pStyle w:val="Compact"/>
      </w:pPr>
      <w:r>
        <w:t xml:space="preserve">The</w:t>
      </w:r>
      <w:r>
        <w:t xml:space="preserve"> </w:t>
      </w:r>
      <w:r>
        <w:t xml:space="preserve">Chemical Engineer</w:t>
      </w:r>
      <w:r>
        <w:t xml:space="preserve"> </w:t>
      </w:r>
      <w:r>
        <w:t xml:space="preserve">and his team shall maintain full professional liability insurance (minimum coverage of 5,000,000 ILS) throughout the duration of the engagement.</w:t>
      </w:r>
    </w:p>
    <w:p>
      <w:pPr>
        <w:numPr>
          <w:ilvl w:val="0"/>
          <w:numId w:val="1001"/>
        </w:numPr>
        <w:pStyle w:val="Compact"/>
      </w:pPr>
      <w:r>
        <w:t xml:space="preserve">Any changes to the scope of work beyond 10% of the originally estimated hours shall require a written change order signed by both parties before additional work commences.</w:t>
      </w:r>
    </w:p>
    <w:p>
      <w:pPr>
        <w:numPr>
          <w:ilvl w:val="0"/>
          <w:numId w:val="1001"/>
        </w:numPr>
        <w:pStyle w:val="Compact"/>
      </w:pPr>
      <w:r>
        <w:t xml:space="preserve">All intellectual property, design documents, and process data generated under this contract shall become the exclusive property of Negev Advanced Materials Ltd. upon full payment.</w:t>
      </w:r>
    </w:p>
    <w:p>
      <w:pPr>
        <w:numPr>
          <w:ilvl w:val="0"/>
          <w:numId w:val="1001"/>
        </w:numPr>
        <w:pStyle w:val="Compact"/>
      </w:pPr>
      <w:r>
        <w:t xml:space="preserve">This engagement is governed by the laws of the State of Israel. Any disputes shall be resolved by arbitration in Tel Aviv under the rules of the Israel Arbitration Association.</w:t>
      </w:r>
    </w:p>
    <w:p>
      <w:pPr>
        <w:numPr>
          <w:ilvl w:val="0"/>
          <w:numId w:val="1001"/>
        </w:numPr>
        <w:pStyle w:val="Compact"/>
      </w:pPr>
      <w:r>
        <w:t xml:space="preserve">The</w:t>
      </w:r>
      <w:r>
        <w:t xml:space="preserve"> </w:t>
      </w:r>
      <w:r>
        <w:t xml:space="preserve">Chemical Engineer</w:t>
      </w:r>
      <w:r>
        <w:t xml:space="preserve"> </w:t>
      </w:r>
      <w:r>
        <w:t xml:space="preserve">reserves the right to subcontract non-critical support tasks (e.g., CAD drafting, laboratory sampling) to qualified third parties, provided the client is notified in writing at least five business days in advance.</w:t>
      </w:r>
    </w:p>
    <w:p>
      <w:pPr>
        <w:numPr>
          <w:ilvl w:val="0"/>
          <w:numId w:val="1001"/>
        </w:numPr>
        <w:pStyle w:val="Compact"/>
      </w:pPr>
      <w:r>
        <w:t xml:space="preserve">Force majeure events, including but not limited to natural disasters, government-mandated shutdowns, or civil unrest affecting the</w:t>
      </w:r>
      <w:r>
        <w:t xml:space="preserve"> </w:t>
      </w:r>
      <w:r>
        <w:t xml:space="preserve">Israel Tel Aviv</w:t>
      </w:r>
      <w:r>
        <w:t xml:space="preserve"> </w:t>
      </w:r>
      <w:r>
        <w:t xml:space="preserve">region, shall suspend obligations without penalty for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Chemical Engineer</w:t>
      </w:r>
      <w:r>
        <w:t xml:space="preserve"> </w:t>
      </w:r>
      <w:r>
        <w:t xml:space="preserve">and associated services in</w:t>
      </w:r>
      <w:r>
        <w:t xml:space="preserve"> </w:t>
      </w:r>
      <w:r>
        <w:t xml:space="preserve">Israel Tel Aviv</w:t>
      </w:r>
      <w:r>
        <w:t xml:space="preserve">.</w:t>
      </w:r>
    </w:p>
    <w:bookmarkEnd w:id="25"/>
    <w:p>
      <w:pPr>
        <w:pStyle w:val="BodyText"/>
      </w:pPr>
      <w:r>
        <w:rPr>
          <w:bCs/>
          <w:b/>
        </w:rPr>
        <w:t xml:space="preserve">For: Negev Advanced Materials Ltd.</w:t>
      </w:r>
      <w:r>
        <w:br/>
      </w:r>
      <w:r>
        <w:t xml:space="preserve">Name: Dr. Yael Ben-David</w:t>
      </w:r>
      <w:r>
        <w:br/>
      </w:r>
      <w:r>
        <w:t xml:space="preserve">Title: Operations Director</w:t>
      </w:r>
      <w:r>
        <w:br/>
      </w:r>
      <w:r>
        <w:t xml:space="preserve">Date: _______________</w:t>
      </w:r>
    </w:p>
    <w:p>
      <w:pPr>
        <w:pStyle w:val="BodyText"/>
      </w:pPr>
      <w:r>
        <w:rPr>
          <w:bCs/>
          <w:b/>
        </w:rPr>
        <w:t xml:space="preserve">For: ChemEng-TLV Consultancy</w:t>
      </w:r>
      <w:r>
        <w:br/>
      </w:r>
      <w:r>
        <w:t xml:space="preserve">Name: Mr. Avi Rosenfeld, P.E.</w:t>
      </w:r>
      <w:r>
        <w:br/>
      </w:r>
      <w:r>
        <w:t xml:space="preserve">Title: Lead Chemical Engineer</w:t>
      </w:r>
      <w:r>
        <w:br/>
      </w:r>
      <w:r>
        <w:t xml:space="preserve">Date: _______________</w:t>
      </w:r>
    </w:p>
    <w:p>
      <w:pPr>
        <w:pStyle w:val="BodyText"/>
      </w:pPr>
      <w:r>
        <w:t xml:space="preserve">ChemEng-TLV Consultancy — Professional Chemical Engineer Services in Israel Tel Aviv</w:t>
      </w:r>
    </w:p>
    <w:p>
      <w:pPr>
        <w:pStyle w:val="BodyText"/>
      </w:pPr>
      <w:r>
        <w:t xml:space="preserve">Quotation Estimate No. QE-2025-TLV-0847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Israel Tel Aviv</dc:title>
  <dc:creator/>
  <dc:language>en</dc:language>
  <cp:keywords/>
  <dcterms:created xsi:type="dcterms:W3CDTF">2026-10-10T01:56:05Z</dcterms:created>
  <dcterms:modified xsi:type="dcterms:W3CDTF">2026-10-10T01:56:05Z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