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osaka-precision-engineering-co.-ltd."/>
    <w:p>
      <w:pPr>
        <w:pStyle w:val="Heading1"/>
      </w:pPr>
      <w:r>
        <w:t xml:space="preserve">Osaka Precision Engineering Co., Ltd.</w:t>
      </w:r>
    </w:p>
    <w:p>
      <w:pPr>
        <w:pStyle w:val="FirstParagraph"/>
      </w:pPr>
      <w:r>
        <w:t xml:space="preserve">2-14-8 Dotonbori, Chuo-ku, Osaka 542-0071, Japan</w:t>
      </w:r>
    </w:p>
    <w:p>
      <w:pPr>
        <w:pStyle w:val="BodyText"/>
      </w:pPr>
      <w:r>
        <w:t xml:space="preserve">Tel: +81-6-6210-4580 | Email: estimates@osaka-precision-eng.co.jp</w:t>
      </w:r>
    </w:p>
    <w:p>
      <w:pPr>
        <w:pStyle w:val="BodyText"/>
      </w:pPr>
      <w:r>
        <w:t xml:space="preserve">Corporation Number: 2010401087654</w:t>
      </w:r>
    </w:p>
    <w:bookmarkEnd w:id="20"/>
    <w:p>
      <w:pPr>
        <w:pStyle w:val="BodyText"/>
      </w:pPr>
      <w:r>
        <w:t xml:space="preserve">Document Reference: QE-2025-OSK-0347</w:t>
      </w:r>
    </w:p>
    <w:p>
      <w:pPr>
        <w:pStyle w:val="BodyText"/>
      </w:pPr>
      <w:r>
        <w:t xml:space="preserve">Date of Issue: 14 June 2025</w:t>
      </w:r>
    </w:p>
    <w:p>
      <w:pPr>
        <w:pStyle w:val="BodyText"/>
      </w:pPr>
      <w:r>
        <w:t xml:space="preserve">Valid Until: 14 July 2025</w:t>
      </w:r>
    </w:p>
    <w:bookmarkStart w:id="21" w:name="quotation-estimate"/>
    <w:p>
      <w:pPr>
        <w:pStyle w:val="Heading2"/>
      </w:pPr>
      <w:r>
        <w:t xml:space="preserve">QUOTATION ESTIMATE</w:t>
      </w:r>
    </w:p>
    <w:p>
      <w:pPr>
        <w:pStyle w:val="FirstParagraph"/>
      </w:pPr>
      <w:r>
        <w:t xml:space="preserve">Professional Chemical Engineer Services — Japan Osaka Region</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Mr. Kenji Tanaka, Procurement Director, Kansai Industrial Holdings K.K., 5-3-1 Umeda, Kita-ku, Osaka 530-0001, Japan</w:t>
            </w:r>
          </w:p>
        </w:tc>
      </w:tr>
      <w:tr>
        <w:tc>
          <w:tcPr/>
          <w:p>
            <w:pPr>
              <w:pStyle w:val="Compact"/>
              <w:jc w:val="left"/>
            </w:pPr>
            <w:r>
              <w:t xml:space="preserve">Project Reference:</w:t>
            </w:r>
          </w:p>
        </w:tc>
        <w:tc>
          <w:tcPr/>
          <w:p>
            <w:pPr>
              <w:pStyle w:val="Compact"/>
              <w:jc w:val="left"/>
            </w:pPr>
            <w:r>
              <w:t xml:space="preserve">CIH-2025-OSK-089 — Process Optimization &amp; Safety Compliance, Osaka Plant</w:t>
            </w:r>
          </w:p>
        </w:tc>
      </w:tr>
      <w:tr>
        <w:tc>
          <w:tcPr/>
          <w:p>
            <w:pPr>
              <w:pStyle w:val="Compact"/>
              <w:jc w:val="left"/>
            </w:pPr>
            <w:r>
              <w:t xml:space="preserve">Service Category:</w:t>
            </w:r>
          </w:p>
        </w:tc>
        <w:tc>
          <w:tcPr/>
          <w:p>
            <w:pPr>
              <w:pStyle w:val="Compact"/>
              <w:jc w:val="left"/>
            </w:pPr>
            <w:r>
              <w:t xml:space="preserve">Chemical Engineer Consulting &amp; On-Site Technical Support</w:t>
            </w:r>
          </w:p>
        </w:tc>
      </w:tr>
      <w:tr>
        <w:tc>
          <w:tcPr/>
          <w:p>
            <w:pPr>
              <w:pStyle w:val="Compact"/>
              <w:jc w:val="left"/>
            </w:pPr>
            <w:r>
              <w:t xml:space="preserve">Work Location:</w:t>
            </w:r>
          </w:p>
        </w:tc>
        <w:tc>
          <w:tcPr/>
          <w:p>
            <w:pPr>
              <w:pStyle w:val="Compact"/>
              <w:jc w:val="left"/>
            </w:pPr>
            <w:r>
              <w:t xml:space="preserve">Kansai Industrial Holdings K.K. Manufacturing Facility, Yodogawa-ku, Japan Osaka</w:t>
            </w:r>
          </w:p>
        </w:tc>
      </w:tr>
      <w:tr>
        <w:tc>
          <w:tcPr/>
          <w:p>
            <w:pPr>
              <w:pStyle w:val="Compact"/>
              <w:jc w:val="left"/>
            </w:pPr>
            <w:r>
              <w:t xml:space="preserve">Quotation Estimate No.:</w:t>
            </w:r>
          </w:p>
        </w:tc>
        <w:tc>
          <w:tcPr/>
          <w:p>
            <w:pPr>
              <w:pStyle w:val="Compact"/>
              <w:jc w:val="left"/>
            </w:pPr>
            <w:r>
              <w:t xml:space="preserve">QE-2025-OSK-0347</w:t>
            </w:r>
          </w:p>
        </w:tc>
      </w:tr>
    </w:tbl>
    <w:bookmarkStart w:id="22" w:name="scope-of-work-description"/>
    <w:p>
      <w:pPr>
        <w:pStyle w:val="Heading3"/>
      </w:pPr>
      <w:r>
        <w:t xml:space="preserve">1. Scope of Work &amp; Description</w:t>
      </w:r>
    </w:p>
    <w:p>
      <w:pPr>
        <w:pStyle w:val="FirstParagraph"/>
      </w:pPr>
      <w:r>
        <w:t xml:space="preserve">This</w:t>
      </w:r>
      <w:r>
        <w:t xml:space="preserve"> </w:t>
      </w:r>
      <w:r>
        <w:t xml:space="preserve">Quotation Estimate</w:t>
      </w:r>
      <w:r>
        <w:t xml:space="preserve"> </w:t>
      </w:r>
      <w:r>
        <w:t xml:space="preserve">is issued by Osaka Precision Engineering Co., Ltd. to provide comprehensive</w:t>
      </w:r>
      <w:r>
        <w:t xml:space="preserve"> </w:t>
      </w:r>
      <w:r>
        <w:t xml:space="preserve">Chemical Engineer</w:t>
      </w:r>
      <w:r>
        <w:t xml:space="preserve"> </w:t>
      </w:r>
      <w:r>
        <w:t xml:space="preserve">professional services for the Kansai Industrial Holdings K.K. manufacturing facility located in</w:t>
      </w:r>
      <w:r>
        <w:t xml:space="preserve"> </w:t>
      </w:r>
      <w:r>
        <w:t xml:space="preserve">Japan Osaka</w:t>
      </w:r>
      <w:r>
        <w:t xml:space="preserve">. The scope encompasses a full-cycle engagement covering process audit, reactor system optimization, waste treatment stream redesign, and regulatory compliance verification in accordance with the Japanese Industrial Safety and Health Act (Kogyo Anzen to Kenkou Ho) and the Osaka Metropolitan Government environmental directives.</w:t>
      </w:r>
    </w:p>
    <w:p>
      <w:pPr>
        <w:pStyle w:val="BodyText"/>
      </w:pPr>
      <w:r>
        <w:t xml:space="preserve">The assigned</w:t>
      </w:r>
      <w:r>
        <w:t xml:space="preserve"> </w:t>
      </w:r>
      <w:r>
        <w:t xml:space="preserve">Chemical Engineer</w:t>
      </w:r>
      <w:r>
        <w:t xml:space="preserve"> </w:t>
      </w:r>
      <w:r>
        <w:t xml:space="preserve">will hold a valid Japanese Registered Chemical Engineer (Kagaku Kogakuji) license and possess a minimum of twelve (12) years of experience in petrochemical and fine-chemicals process design. All on-site work will be conducted within the</w:t>
      </w:r>
      <w:r>
        <w:t xml:space="preserve"> </w:t>
      </w:r>
      <w:r>
        <w:t xml:space="preserve">Japan Osaka</w:t>
      </w:r>
      <w:r>
        <w:t xml:space="preserve"> </w:t>
      </w:r>
      <w:r>
        <w:t xml:space="preserve">metropolitan area, with primary operations at the Yodogawa-ku plant and secondary visits to the client's R&amp;D annex in Suita City. The</w:t>
      </w:r>
      <w:r>
        <w:t xml:space="preserve"> </w:t>
      </w:r>
      <w:r>
        <w:t xml:space="preserve">Quotation Estimate</w:t>
      </w:r>
      <w:r>
        <w:t xml:space="preserve"> </w:t>
      </w:r>
      <w:r>
        <w:t xml:space="preserve">below reflects all labor, travel, material, and administrative costs required to deliver the services described herein.</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Senior Chemical Engineer — On-site process audit and P&amp;ID review at Japan Osaka plant (8-hour working day)</w:t>
            </w:r>
          </w:p>
        </w:tc>
        <w:tc>
          <w:tcPr/>
          <w:p>
            <w:pPr>
              <w:pStyle w:val="Compact"/>
              <w:jc w:val="left"/>
            </w:pPr>
            <w:r>
              <w:t xml:space="preserve">15 days</w:t>
            </w:r>
          </w:p>
        </w:tc>
        <w:tc>
          <w:tcPr/>
          <w:p>
            <w:pPr>
              <w:pStyle w:val="Compact"/>
              <w:jc w:val="left"/>
            </w:pPr>
            <w:r>
              <w:t xml:space="preserve">185,000</w:t>
            </w:r>
          </w:p>
        </w:tc>
        <w:tc>
          <w:tcPr/>
          <w:p>
            <w:pPr>
              <w:pStyle w:val="Compact"/>
              <w:jc w:val="left"/>
            </w:pPr>
            <w:r>
              <w:t xml:space="preserve">2,775,000</w:t>
            </w:r>
          </w:p>
        </w:tc>
      </w:tr>
      <w:tr>
        <w:tc>
          <w:tcPr/>
          <w:p>
            <w:pPr>
              <w:pStyle w:val="Compact"/>
              <w:jc w:val="left"/>
            </w:pPr>
            <w:r>
              <w:t xml:space="preserve">2</w:t>
            </w:r>
          </w:p>
        </w:tc>
        <w:tc>
          <w:tcPr/>
          <w:p>
            <w:pPr>
              <w:pStyle w:val="Compact"/>
              <w:jc w:val="left"/>
            </w:pPr>
            <w:r>
              <w:t xml:space="preserve">Chemical Engineer — Reactor thermal optimization and CFD simulation modeling</w:t>
            </w:r>
          </w:p>
        </w:tc>
        <w:tc>
          <w:tcPr/>
          <w:p>
            <w:pPr>
              <w:pStyle w:val="Compact"/>
              <w:jc w:val="left"/>
            </w:pPr>
            <w:r>
              <w:t xml:space="preserve">10 days</w:t>
            </w:r>
          </w:p>
        </w:tc>
        <w:tc>
          <w:tcPr/>
          <w:p>
            <w:pPr>
              <w:pStyle w:val="Compact"/>
              <w:jc w:val="left"/>
            </w:pPr>
            <w:r>
              <w:t xml:space="preserve">165,000</w:t>
            </w:r>
          </w:p>
        </w:tc>
        <w:tc>
          <w:tcPr/>
          <w:p>
            <w:pPr>
              <w:pStyle w:val="Compact"/>
              <w:jc w:val="left"/>
            </w:pPr>
            <w:r>
              <w:t xml:space="preserve">1,650,000</w:t>
            </w:r>
          </w:p>
        </w:tc>
      </w:tr>
      <w:tr>
        <w:tc>
          <w:tcPr/>
          <w:p>
            <w:pPr>
              <w:pStyle w:val="Compact"/>
              <w:jc w:val="left"/>
            </w:pPr>
            <w:r>
              <w:t xml:space="preserve">3</w:t>
            </w:r>
          </w:p>
        </w:tc>
        <w:tc>
          <w:tcPr/>
          <w:p>
            <w:pPr>
              <w:pStyle w:val="Compact"/>
              <w:jc w:val="left"/>
            </w:pPr>
            <w:r>
              <w:t xml:space="preserve">Waste treatment stream redesign — Chemical Engineer design and documentation</w:t>
            </w:r>
          </w:p>
        </w:tc>
        <w:tc>
          <w:tcPr/>
          <w:p>
            <w:pPr>
              <w:pStyle w:val="Compact"/>
              <w:jc w:val="left"/>
            </w:pPr>
            <w:r>
              <w:t xml:space="preserve">8 days</w:t>
            </w:r>
          </w:p>
        </w:tc>
        <w:tc>
          <w:tcPr/>
          <w:p>
            <w:pPr>
              <w:pStyle w:val="Compact"/>
              <w:jc w:val="left"/>
            </w:pPr>
            <w:r>
              <w:t xml:space="preserve">165,000</w:t>
            </w:r>
          </w:p>
        </w:tc>
        <w:tc>
          <w:tcPr/>
          <w:p>
            <w:pPr>
              <w:pStyle w:val="Compact"/>
              <w:jc w:val="left"/>
            </w:pPr>
            <w:r>
              <w:t xml:space="preserve">1,320,000</w:t>
            </w:r>
          </w:p>
        </w:tc>
      </w:tr>
      <w:tr>
        <w:tc>
          <w:tcPr/>
          <w:p>
            <w:pPr>
              <w:pStyle w:val="Compact"/>
              <w:jc w:val="left"/>
            </w:pPr>
            <w:r>
              <w:t xml:space="preserve">4</w:t>
            </w:r>
          </w:p>
        </w:tc>
        <w:tc>
          <w:tcPr/>
          <w:p>
            <w:pPr>
              <w:pStyle w:val="Compact"/>
              <w:jc w:val="left"/>
            </w:pPr>
            <w:r>
              <w:t xml:space="preserve">Regulatory compliance verification — Osaka Metropolitan Government environmental permit alignment</w:t>
            </w:r>
          </w:p>
        </w:tc>
        <w:tc>
          <w:tcPr/>
          <w:p>
            <w:pPr>
              <w:pStyle w:val="Compact"/>
              <w:jc w:val="left"/>
            </w:pPr>
            <w:r>
              <w:t xml:space="preserve">5 days</w:t>
            </w:r>
          </w:p>
        </w:tc>
        <w:tc>
          <w:tcPr/>
          <w:p>
            <w:pPr>
              <w:pStyle w:val="Compact"/>
              <w:jc w:val="left"/>
            </w:pPr>
            <w:r>
              <w:t xml:space="preserve">140,000</w:t>
            </w:r>
          </w:p>
        </w:tc>
        <w:tc>
          <w:tcPr/>
          <w:p>
            <w:pPr>
              <w:pStyle w:val="Compact"/>
              <w:jc w:val="left"/>
            </w:pPr>
            <w:r>
              <w:t xml:space="preserve">700,000</w:t>
            </w:r>
          </w:p>
        </w:tc>
      </w:tr>
      <w:tr>
        <w:tc>
          <w:tcPr/>
          <w:p>
            <w:pPr>
              <w:pStyle w:val="Compact"/>
              <w:jc w:val="left"/>
            </w:pPr>
            <w:r>
              <w:t xml:space="preserve">5</w:t>
            </w:r>
          </w:p>
        </w:tc>
        <w:tc>
          <w:tcPr/>
          <w:p>
            <w:pPr>
              <w:pStyle w:val="Compact"/>
              <w:jc w:val="left"/>
            </w:pPr>
            <w:r>
              <w:t xml:space="preserve">Specialized analytical equipment rental (HPLC, GC-MS, thermal analyzer) for Japan Osaka site</w:t>
            </w:r>
          </w:p>
        </w:tc>
        <w:tc>
          <w:tcPr/>
          <w:p>
            <w:pPr>
              <w:pStyle w:val="Compact"/>
              <w:jc w:val="left"/>
            </w:pPr>
            <w:r>
              <w:t xml:space="preserve">1 lot</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6</w:t>
            </w:r>
          </w:p>
        </w:tc>
        <w:tc>
          <w:tcPr/>
          <w:p>
            <w:pPr>
              <w:pStyle w:val="Compact"/>
              <w:jc w:val="left"/>
            </w:pPr>
            <w:r>
              <w:t xml:space="preserve">Technical report compilation, bilingual (Japanese/English) documentation, and final presentation</w:t>
            </w:r>
          </w:p>
        </w:tc>
        <w:tc>
          <w:tcPr/>
          <w:p>
            <w:pPr>
              <w:pStyle w:val="Compact"/>
              <w:jc w:val="left"/>
            </w:pPr>
            <w:r>
              <w:t xml:space="preserve">1 lot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7</w:t>
            </w:r>
          </w:p>
        </w:tc>
        <w:tc>
          <w:tcPr/>
          <w:p>
            <w:pPr>
              <w:pStyle w:val="Compact"/>
              <w:jc w:val="left"/>
            </w:pPr>
            <w:r>
              <w:t xml:space="preserve">Local travel, transportation, and accommodation within Japan Osaka metropolitan area</w:t>
            </w:r>
          </w:p>
        </w:tc>
        <w:tc>
          <w:tcPr/>
          <w:p>
            <w:pPr>
              <w:pStyle w:val="Compact"/>
              <w:jc w:val="left"/>
            </w:pPr>
            <w:r>
              <w:t xml:space="preserve">38 days</w:t>
            </w:r>
          </w:p>
        </w:tc>
        <w:tc>
          <w:tcPr/>
          <w:p>
            <w:pPr>
              <w:pStyle w:val="Compact"/>
              <w:jc w:val="left"/>
            </w:pPr>
            <w:r>
              <w:t xml:space="preserve">22,000</w:t>
            </w:r>
          </w:p>
        </w:tc>
        <w:tc>
          <w:tcPr/>
          <w:p>
            <w:pPr>
              <w:pStyle w:val="Compact"/>
              <w:jc w:val="left"/>
            </w:pPr>
            <w:r>
              <w:t xml:space="preserve">836,000</w:t>
            </w:r>
          </w:p>
        </w:tc>
      </w:tr>
      <w:tr>
        <w:tc>
          <w:tcPr/>
          <w:p>
            <w:pPr>
              <w:pStyle w:val="Compact"/>
              <w:jc w:val="left"/>
            </w:pPr>
            <w:r>
              <w:t xml:space="preserve">8</w:t>
            </w:r>
          </w:p>
        </w:tc>
        <w:tc>
          <w:tcPr/>
          <w:p>
            <w:pPr>
              <w:pStyle w:val="Compact"/>
              <w:jc w:val="left"/>
            </w:pPr>
            <w:r>
              <w:t xml:space="preserve">Project management, scheduling, and client liaison coordination</w:t>
            </w:r>
          </w:p>
        </w:tc>
        <w:tc>
          <w:tcPr/>
          <w:p>
            <w:pPr>
              <w:pStyle w:val="Compact"/>
              <w:jc w:val="left"/>
            </w:pPr>
            <w:r>
              <w:t xml:space="preserve">1 lot</w:t>
            </w:r>
          </w:p>
        </w:tc>
        <w:tc>
          <w:tcPr/>
          <w:p>
            <w:pPr>
              <w:pStyle w:val="Compact"/>
              <w:jc w:val="left"/>
            </w:pPr>
            <w:r>
              <w:t xml:space="preserve">350,000</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9,061,000</w:t>
            </w:r>
          </w:p>
        </w:tc>
      </w:tr>
      <w:tr>
        <w:tc>
          <w:tcPr/>
          <w:p>
            <w:pPr>
              <w:pStyle w:val="Compact"/>
              <w:jc w:val="left"/>
            </w:pPr>
            <w:r>
              <w:t xml:space="preserve">Consumable materials &amp; reagents</w:t>
            </w:r>
          </w:p>
        </w:tc>
        <w:tc>
          <w:tcPr/>
          <w:p>
            <w:pPr>
              <w:pStyle w:val="Compact"/>
              <w:jc w:val="left"/>
            </w:pPr>
            <w:r>
              <w:t xml:space="preserve">420,000</w:t>
            </w:r>
          </w:p>
        </w:tc>
      </w:tr>
      <w:tr>
        <w:tc>
          <w:tcPr/>
          <w:p>
            <w:pPr>
              <w:pStyle w:val="Compact"/>
              <w:jc w:val="left"/>
            </w:pPr>
            <w:r>
              <w:t xml:space="preserve">Consumption Tax (10%)</w:t>
            </w:r>
          </w:p>
        </w:tc>
        <w:tc>
          <w:tcPr/>
          <w:p>
            <w:pPr>
              <w:pStyle w:val="Compact"/>
              <w:jc w:val="left"/>
            </w:pPr>
            <w:r>
              <w:t xml:space="preserve">948,100</w:t>
            </w:r>
          </w:p>
        </w:tc>
      </w:tr>
      <w:tr>
        <w:tc>
          <w:tcPr/>
          <w:p>
            <w:pPr>
              <w:pStyle w:val="Compact"/>
              <w:jc w:val="left"/>
            </w:pPr>
            <w:r>
              <w:t xml:space="preserve">Grand Total (JPY)</w:t>
            </w:r>
          </w:p>
        </w:tc>
        <w:tc>
          <w:tcPr/>
          <w:p>
            <w:pPr>
              <w:pStyle w:val="Compact"/>
              <w:jc w:val="left"/>
            </w:pPr>
            <w:r>
              <w:t xml:space="preserve">10,429,100</w:t>
            </w:r>
          </w:p>
        </w:tc>
      </w:tr>
    </w:tbl>
    <w:bookmarkEnd w:id="23"/>
    <w:bookmarkStart w:id="24" w:name="terms-and-conditions"/>
    <w:p>
      <w:pPr>
        <w:pStyle w:val="Heading3"/>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requires written reconfirmation from Osaka Precision Engineering Co., Ltd.</w:t>
      </w:r>
    </w:p>
    <w:p>
      <w:pPr>
        <w:numPr>
          <w:ilvl w:val="0"/>
          <w:numId w:val="1001"/>
        </w:numPr>
        <w:pStyle w:val="Compact"/>
      </w:pPr>
      <w:r>
        <w:t xml:space="preserve">Payment terms: 40% advance payment upon contract execution, 40% upon completion of on-site fieldwork in</w:t>
      </w:r>
      <w:r>
        <w:t xml:space="preserve"> </w:t>
      </w:r>
      <w:r>
        <w:t xml:space="preserve">Japan Osaka</w:t>
      </w:r>
      <w:r>
        <w:t xml:space="preserve">, and 20% upon delivery of the final technical report and acceptance by the client.</w:t>
      </w:r>
    </w:p>
    <w:p>
      <w:pPr>
        <w:numPr>
          <w:ilvl w:val="0"/>
          <w:numId w:val="1001"/>
        </w:numPr>
        <w:pStyle w:val="Compact"/>
      </w:pPr>
      <w:r>
        <w:t xml:space="preserve">All</w:t>
      </w:r>
      <w:r>
        <w:t xml:space="preserve"> </w:t>
      </w:r>
      <w:r>
        <w:t xml:space="preserve">Chemical Engineer</w:t>
      </w:r>
      <w:r>
        <w:t xml:space="preserve"> </w:t>
      </w:r>
      <w:r>
        <w:t xml:space="preserve">personnel assigned to this project shall comply with the client's site safety protocols, including mandatory personal protective equipment (PPE) and confined-space entry procedures as mandated by Japanese occupational safety regulations.</w:t>
      </w:r>
    </w:p>
    <w:p>
      <w:pPr>
        <w:numPr>
          <w:ilvl w:val="0"/>
          <w:numId w:val="1001"/>
        </w:numPr>
        <w:pStyle w:val="Compact"/>
      </w:pPr>
      <w:r>
        <w:t xml:space="preserve">The</w:t>
      </w:r>
      <w:r>
        <w:t xml:space="preserve"> </w:t>
      </w:r>
      <w:r>
        <w:t xml:space="preserve">Chemical Engineer</w:t>
      </w:r>
      <w:r>
        <w:t xml:space="preserve"> </w:t>
      </w:r>
      <w:r>
        <w:t xml:space="preserve">shall maintain professional liability insurance with a minimum coverage of 100,000,000 JPY throughout the duration of the engagement in</w:t>
      </w:r>
      <w:r>
        <w:t xml:space="preserve"> </w:t>
      </w:r>
      <w:r>
        <w:t xml:space="preserve">Japan Osaka</w:t>
      </w:r>
      <w:r>
        <w:t xml:space="preserve">.</w:t>
      </w:r>
    </w:p>
    <w:p>
      <w:pPr>
        <w:numPr>
          <w:ilvl w:val="0"/>
          <w:numId w:val="1001"/>
        </w:numPr>
        <w:pStyle w:val="Compact"/>
      </w:pPr>
      <w:r>
        <w:t xml:space="preserve">Any change in scope, additional working days, or revised deliverables must be documented via a formal Change Order signed by both parties before execution. The</w:t>
      </w:r>
      <w:r>
        <w:t xml:space="preserve"> </w:t>
      </w:r>
      <w:r>
        <w:t xml:space="preserve">Quotation Estimate</w:t>
      </w:r>
      <w:r>
        <w:t xml:space="preserve"> </w:t>
      </w:r>
      <w:r>
        <w:t xml:space="preserve">amounts shall be adjusted accordingly.</w:t>
      </w:r>
    </w:p>
    <w:p>
      <w:pPr>
        <w:numPr>
          <w:ilvl w:val="0"/>
          <w:numId w:val="1001"/>
        </w:numPr>
        <w:pStyle w:val="Compact"/>
      </w:pPr>
      <w:r>
        <w:t xml:space="preserve">Confidentiality: All process data, proprietary formulations, and operational parameters encountered during this engagement in</w:t>
      </w:r>
      <w:r>
        <w:t xml:space="preserve"> </w:t>
      </w:r>
      <w:r>
        <w:t xml:space="preserve">Japan Osaka</w:t>
      </w:r>
      <w:r>
        <w:t xml:space="preserve"> </w:t>
      </w:r>
      <w:r>
        <w:t xml:space="preserve">shall be treated as strictly confidential and shall not be disclosed to any third party without written consent.</w:t>
      </w:r>
    </w:p>
    <w:p>
      <w:pPr>
        <w:numPr>
          <w:ilvl w:val="0"/>
          <w:numId w:val="1001"/>
        </w:numPr>
        <w:pStyle w:val="Compact"/>
      </w:pPr>
      <w:r>
        <w:t xml:space="preserve">Governing law: This</w:t>
      </w:r>
      <w:r>
        <w:t xml:space="preserve"> </w:t>
      </w:r>
      <w:r>
        <w:t xml:space="preserve">Quotation Estimate</w:t>
      </w:r>
      <w:r>
        <w:t xml:space="preserve"> </w:t>
      </w:r>
      <w:r>
        <w:t xml:space="preserve">and any resulting contract shall be governed by the laws of Japan. Disputes shall be resolved through arbitration at the Japan Commercial Arbitration Association (JCAA) in Osaka.</w:t>
      </w:r>
    </w:p>
    <w:p>
      <w:pPr>
        <w:numPr>
          <w:ilvl w:val="0"/>
          <w:numId w:val="1001"/>
        </w:numPr>
        <w:pStyle w:val="Compact"/>
      </w:pPr>
      <w:r>
        <w:t xml:space="preserve">Force majeure events, including but not limited to natural disasters common to the</w:t>
      </w:r>
      <w:r>
        <w:t xml:space="preserve"> </w:t>
      </w:r>
      <w:r>
        <w:t xml:space="preserve">Japan Osaka</w:t>
      </w:r>
      <w:r>
        <w:t xml:space="preserve"> </w:t>
      </w:r>
      <w:r>
        <w:t xml:space="preserve">region (earthquakes, typhoons, flooding), shall suspend obligations without penalty for a period not exceeding fourteen (14) days.</w:t>
      </w:r>
    </w:p>
    <w:bookmarkEnd w:id="24"/>
    <w:bookmarkStart w:id="25" w:name="acceptance-and-authorization"/>
    <w:p>
      <w:pPr>
        <w:pStyle w:val="Heading3"/>
      </w:pPr>
      <w:r>
        <w:t xml:space="preserve">4. Acceptance and Authorization</w:t>
      </w:r>
    </w:p>
    <w:p>
      <w:pPr>
        <w:pStyle w:val="FirstParagraph"/>
      </w:pPr>
      <w:r>
        <w:rPr>
          <w:bCs/>
          <w:b/>
        </w:rPr>
        <w:t xml:space="preserve">Prepared by (Supplier):</w:t>
      </w:r>
    </w:p>
    <w:p>
      <w:pPr>
        <w:pStyle w:val="BodyText"/>
      </w:pPr>
      <w:r>
        <w:t xml:space="preserve">Osaka Precision Engineering Co., Ltd.</w:t>
      </w:r>
    </w:p>
    <w:p>
      <w:pPr>
        <w:pStyle w:val="BodyText"/>
      </w:pPr>
      <w:r>
        <w:t xml:space="preserve">Name: Dr. Hiroshi Yamamoto, P.Eng.</w:t>
      </w:r>
    </w:p>
    <w:p>
      <w:pPr>
        <w:pStyle w:val="BodyText"/>
      </w:pPr>
      <w:r>
        <w:t xml:space="preserve">Title: Chief Chemical Engineer &amp; Project Director</w:t>
      </w:r>
    </w:p>
    <w:p>
      <w:pPr>
        <w:pStyle w:val="BodyText"/>
      </w:pPr>
      <w:r>
        <w:t xml:space="preserve">Signature: ___________________________</w:t>
      </w:r>
    </w:p>
    <w:p>
      <w:pPr>
        <w:pStyle w:val="BodyText"/>
      </w:pPr>
      <w:r>
        <w:t xml:space="preserve">Date: ___________________________</w:t>
      </w:r>
    </w:p>
    <w:p>
      <w:pPr>
        <w:pStyle w:val="BodyText"/>
      </w:pPr>
      <w:r>
        <w:t xml:space="preserve">Company Seal (Hanko):</w:t>
      </w:r>
    </w:p>
    <w:p>
      <w:pPr>
        <w:pStyle w:val="BodyText"/>
      </w:pPr>
      <w:r>
        <w:rPr>
          <w:bCs/>
          <w:b/>
        </w:rPr>
        <w:t xml:space="preserve">Accepted by (Client):</w:t>
      </w:r>
    </w:p>
    <w:p>
      <w:pPr>
        <w:pStyle w:val="BodyText"/>
      </w:pPr>
      <w:r>
        <w:t xml:space="preserve">Kansai Industrial Holdings K.K.</w:t>
      </w:r>
    </w:p>
    <w:p>
      <w:pPr>
        <w:pStyle w:val="BodyText"/>
      </w:pPr>
      <w:r>
        <w:t xml:space="preserve">Name: Mr. Kenji Tanaka</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t xml:space="preserve">Company Seal (Hanko):</w:t>
      </w:r>
    </w:p>
    <w:p>
      <w:pPr>
        <w:pStyle w:val="BodyText"/>
      </w:pPr>
      <w:r>
        <w:t xml:space="preserve">This Quotation Estimate (QE-2025-OSK-0347) is issued exclusively for the Chemical Engineer services described herein at the specified Japan Osaka location. It does not constitute a binding contract until countersigned by both parties. All amounts are denominated in Japanese Yen (JPY) and are inclusive of applicable consumption tax unless otherwise stated. © 2025 Osaka Precision Engineering Co.,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Japan Osaka</dc:title>
  <dc:creator/>
  <dc:language>en</dc:language>
  <cp:keywords/>
  <dcterms:created xsi:type="dcterms:W3CDTF">2026-10-10T03:00:05Z</dcterms:created>
  <dcterms:modified xsi:type="dcterms:W3CDTF">2026-10-10T03:00:05Z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