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rPr>
          <w:bCs/>
          <w:b/>
        </w:rPr>
        <w:t xml:space="preserve">Specialized Engineering Consultancy Services</w:t>
      </w:r>
    </w:p>
    <w:p>
      <w:pPr>
        <w:pStyle w:val="BodyText"/>
      </w:pPr>
      <w:r>
        <w:t xml:space="preserve">128 Abai Avenue, Almaty, 050040, Republic of Kazakhstan</w:t>
      </w:r>
    </w:p>
    <w:p>
      <w:pPr>
        <w:pStyle w:val="BodyText"/>
      </w:pPr>
      <w:r>
        <w:t xml:space="preserve">Tel: +7 (727) 312-4567 | Email: info@chemeng-almaty.kz</w:t>
      </w:r>
    </w:p>
    <w:p>
      <w:pPr>
        <w:pStyle w:val="BodyText"/>
      </w:pPr>
      <w:r>
        <w:t xml:space="preserve">Registration No. KZ-2019-CE-0847 | VAT ID: 990847123456</w:t>
      </w:r>
    </w:p>
    <w:bookmarkEnd w:id="20"/>
    <w:p>
      <w:pPr>
        <w:pStyle w:val="BodyText"/>
      </w:pPr>
      <w:r>
        <w:rPr>
          <w:bCs/>
          <w:b/>
        </w:rPr>
        <w:t xml:space="preserve">Quotation No.:</w:t>
      </w:r>
      <w:r>
        <w:t xml:space="preserve"> </w:t>
      </w:r>
      <w:r>
        <w:t xml:space="preserve">QE-2025-CE-0342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Almaty Petrochemical Industries LLP</w:t>
      </w:r>
      <w:r>
        <w:br/>
      </w:r>
      <w:r>
        <w:t xml:space="preserve">45 Dostyk Avenue, Almaty, 050000</w:t>
      </w:r>
      <w:r>
        <w:br/>
      </w:r>
      <w:r>
        <w:t xml:space="preserve">Kazakhstan</w:t>
      </w:r>
      <w:r>
        <w:br/>
      </w:r>
      <w:r>
        <w:t xml:space="preserve">Contact: Mr. T. Nurlanov</w:t>
      </w:r>
    </w:p>
    <w:p>
      <w:pPr>
        <w:pStyle w:val="BodyText"/>
      </w:pPr>
      <w:r>
        <w:rPr>
          <w:bCs/>
          <w:b/>
        </w:rPr>
        <w:t xml:space="preserve">Prepared By:</w:t>
      </w:r>
      <w:r>
        <w:br/>
      </w:r>
      <w:r>
        <w:t xml:space="preserve">Dr. A. Serikbayev</w:t>
      </w:r>
      <w:r>
        <w:br/>
      </w:r>
      <w:r>
        <w:t xml:space="preserve">Lead Chemical Engineer</w:t>
      </w:r>
      <w:r>
        <w:br/>
      </w:r>
      <w:r>
        <w:t xml:space="preserve">P.Eng. KZ-CE-2201</w:t>
      </w:r>
      <w:r>
        <w:br/>
      </w:r>
      <w:r>
        <w:t xml:space="preserve">Almaty, Kazakhstan</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in response to the formal request for proposal received from Almaty Petrochemical Industries LLP regarding the engagement of a qualified</w:t>
      </w:r>
      <w:r>
        <w:t xml:space="preserve"> </w:t>
      </w:r>
      <w:r>
        <w:t xml:space="preserve">Chemical Engineer</w:t>
      </w:r>
      <w:r>
        <w:t xml:space="preserve"> </w:t>
      </w:r>
      <w:r>
        <w:t xml:space="preserve">to provide comprehensive process design, safety assessment, and operational optimization services for their new ethylene glycol production facility located in the Almaty Industrial Zone, Kazakhstan. This document outlines the full scope of professional services, associated costs, timelines, and contractual terms governing the proposed engagement.</w:t>
      </w:r>
    </w:p>
    <w:p>
      <w:pPr>
        <w:pStyle w:val="BodyText"/>
      </w:pPr>
      <w:r>
        <w:t xml:space="preserve">The</w:t>
      </w:r>
      <w:r>
        <w:t xml:space="preserve"> </w:t>
      </w:r>
      <w:r>
        <w:t xml:space="preserve">Chemical Engineer</w:t>
      </w:r>
      <w:r>
        <w:t xml:space="preserve"> </w:t>
      </w:r>
      <w:r>
        <w:t xml:space="preserve">services described herein are specifically tailored to meet the regulatory requirements of the Republic of Kazakhstan, including compliance with the National Technical Regulations (TR CU) and the local environmental protection standards enforced by the Committee for Environmental Supervision in Almaty. All deliverables will be prepared in accordance with international engineering standards (ASME, API, and IEC) as well as the specific operational context of the</w:t>
      </w:r>
      <w:r>
        <w:t xml:space="preserve"> </w:t>
      </w:r>
      <w:r>
        <w:t xml:space="preserve">Kazakhstan Almaty</w:t>
      </w:r>
      <w:r>
        <w:t xml:space="preserve"> </w:t>
      </w:r>
      <w:r>
        <w:t xml:space="preserve">industrial corridor.</w:t>
      </w:r>
    </w:p>
    <w:bookmarkEnd w:id="21"/>
    <w:bookmarkStart w:id="22" w:name="detailed-scope-of-services"/>
    <w:p>
      <w:pPr>
        <w:pStyle w:val="Heading2"/>
      </w:pPr>
      <w:r>
        <w:t xml:space="preserve">2. Detailed Scope of Services</w:t>
      </w:r>
    </w:p>
    <w:p>
      <w:pPr>
        <w:pStyle w:val="FirstParagraph"/>
      </w:pPr>
      <w:r>
        <w:t xml:space="preserve">The</w:t>
      </w:r>
      <w:r>
        <w:t xml:space="preserve"> </w:t>
      </w:r>
      <w:r>
        <w:t xml:space="preserve">Chemical Engineer</w:t>
      </w:r>
      <w:r>
        <w:t xml:space="preserve"> </w:t>
      </w:r>
      <w:r>
        <w:t xml:space="preserve">will deliver the following professional services over a projected period of fourteen (14) calendar months: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(KZT)</w:t>
            </w:r>
          </w:p>
        </w:tc>
      </w:tr>
      <w:tr>
        <w:tc>
          <w:tcPr/>
          <w:p>
            <w:pPr>
              <w:pStyle w:val="Compact"/>
              <w:jc w:val="left"/>
            </w:pPr>
            <w:r>
              <w:t xml:space="preserve">01</w:t>
            </w:r>
          </w:p>
        </w:tc>
        <w:tc>
          <w:tcPr/>
          <w:p>
            <w:pPr>
              <w:pStyle w:val="Compact"/>
              <w:jc w:val="left"/>
            </w:pPr>
            <w:r>
              <w:t xml:space="preserve">Process Flow Diagram (PFD) and Piping &amp; Instrumentation Diagram (P&amp;ID) development for the ethylene glycol reactor train, including heat and mass balance calculations specific to the</w:t>
            </w:r>
            <w:r>
              <w:t xml:space="preserve"> </w:t>
            </w:r>
            <w:r>
              <w:t xml:space="preserve">Kazakhstan Almaty</w:t>
            </w:r>
            <w:r>
              <w:t xml:space="preserve"> </w:t>
            </w:r>
            <w:r>
              <w:t xml:space="preserve">climate conditions.</w:t>
            </w:r>
          </w:p>
        </w:tc>
        <w:tc>
          <w:tcPr/>
          <w:p>
            <w:pPr>
              <w:pStyle w:val="Compact"/>
              <w:jc w:val="left"/>
            </w:pPr>
            <w:r>
              <w:t xml:space="preserve">Months 1–3</w:t>
            </w:r>
          </w:p>
        </w:tc>
        <w:tc>
          <w:tcPr/>
          <w:p>
            <w:pPr>
              <w:pStyle w:val="Compact"/>
              <w:jc w:val="left"/>
            </w:pPr>
            <w:r>
              <w:t xml:space="preserve">Lump Sum</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Hazard and Operability (HAZOP) study and Safety Integrity Level (SIL) assessment for all critical process units, conducted in compliance with Kazakhstan national safety codes.</w:t>
            </w:r>
          </w:p>
        </w:tc>
        <w:tc>
          <w:tcPr/>
          <w:p>
            <w:pPr>
              <w:pStyle w:val="Compact"/>
              <w:jc w:val="left"/>
            </w:pPr>
            <w:r>
              <w:t xml:space="preserve">Months 3–5</w:t>
            </w:r>
          </w:p>
        </w:tc>
        <w:tc>
          <w:tcPr/>
          <w:p>
            <w:pPr>
              <w:pStyle w:val="Compact"/>
              <w:jc w:val="left"/>
            </w:pPr>
            <w:r>
              <w:t xml:space="preserve">Lump Sum</w:t>
            </w:r>
          </w:p>
        </w:tc>
        <w:tc>
          <w:tcPr/>
          <w:p>
            <w:pPr>
              <w:pStyle w:val="Compact"/>
              <w:jc w:val="left"/>
            </w:pPr>
            <w:r>
              <w:t xml:space="preserve">12,200,000</w:t>
            </w:r>
          </w:p>
        </w:tc>
      </w:tr>
      <w:tr>
        <w:tc>
          <w:tcPr/>
          <w:p>
            <w:pPr>
              <w:pStyle w:val="Compact"/>
              <w:jc w:val="left"/>
            </w:pPr>
            <w:r>
              <w:t xml:space="preserve">03</w:t>
            </w:r>
          </w:p>
        </w:tc>
        <w:tc>
          <w:tcPr/>
          <w:p>
            <w:pPr>
              <w:pStyle w:val="Compact"/>
              <w:jc w:val="left"/>
            </w:pPr>
            <w:r>
              <w:t xml:space="preserve">Thermodynamic modeling and simulation of the distillation and purification columns using Aspen Plus, calibrated for local feedstock specifications available in the Almaty region.</w:t>
            </w:r>
          </w:p>
        </w:tc>
        <w:tc>
          <w:tcPr/>
          <w:p>
            <w:pPr>
              <w:pStyle w:val="Compact"/>
              <w:jc w:val="left"/>
            </w:pPr>
            <w:r>
              <w:t xml:space="preserve">Months 4–6</w:t>
            </w:r>
          </w:p>
        </w:tc>
        <w:tc>
          <w:tcPr/>
          <w:p>
            <w:pPr>
              <w:pStyle w:val="Compact"/>
              <w:jc w:val="left"/>
            </w:pPr>
            <w:r>
              <w:t xml:space="preserve">Lump Sum</w:t>
            </w:r>
          </w:p>
        </w:tc>
        <w:tc>
          <w:tcPr/>
          <w:p>
            <w:pPr>
              <w:pStyle w:val="Compact"/>
              <w:jc w:val="left"/>
            </w:pPr>
            <w:r>
              <w:t xml:space="preserve">9,800,000</w:t>
            </w:r>
          </w:p>
        </w:tc>
      </w:tr>
      <w:tr>
        <w:tc>
          <w:tcPr/>
          <w:p>
            <w:pPr>
              <w:pStyle w:val="Compact"/>
              <w:jc w:val="left"/>
            </w:pPr>
            <w:r>
              <w:t xml:space="preserve">04</w:t>
            </w:r>
          </w:p>
        </w:tc>
        <w:tc>
          <w:tcPr/>
          <w:p>
            <w:pPr>
              <w:pStyle w:val="Compact"/>
              <w:jc w:val="left"/>
            </w:pPr>
            <w:r>
              <w:t xml:space="preserve">Environmental Impact Assessment (EIA) support and wastewater treatment process design, ensuring compliance with the Almaty municipal discharge limits and Kazakhstan federal environmental legislation.</w:t>
            </w:r>
          </w:p>
        </w:tc>
        <w:tc>
          <w:tcPr/>
          <w:p>
            <w:pPr>
              <w:pStyle w:val="Compact"/>
              <w:jc w:val="left"/>
            </w:pPr>
            <w:r>
              <w:t xml:space="preserve">Months 5–8</w:t>
            </w:r>
          </w:p>
        </w:tc>
        <w:tc>
          <w:tcPr/>
          <w:p>
            <w:pPr>
              <w:pStyle w:val="Compact"/>
              <w:jc w:val="left"/>
            </w:pPr>
            <w:r>
              <w:t xml:space="preserve">Lump Sum</w:t>
            </w:r>
          </w:p>
        </w:tc>
        <w:tc>
          <w:tcPr/>
          <w:p>
            <w:pPr>
              <w:pStyle w:val="Compact"/>
              <w:jc w:val="left"/>
            </w:pPr>
            <w:r>
              <w:t xml:space="preserve">14,600,000</w:t>
            </w:r>
          </w:p>
        </w:tc>
      </w:tr>
      <w:tr>
        <w:tc>
          <w:tcPr/>
          <w:p>
            <w:pPr>
              <w:pStyle w:val="Compact"/>
              <w:jc w:val="left"/>
            </w:pPr>
            <w:r>
              <w:t xml:space="preserve">05</w:t>
            </w:r>
          </w:p>
        </w:tc>
        <w:tc>
          <w:tcPr/>
          <w:p>
            <w:pPr>
              <w:pStyle w:val="Compact"/>
              <w:jc w:val="left"/>
            </w:pPr>
            <w:r>
              <w:t xml:space="preserve">On-site commissioning supervision, startup support, and operator training for the</w:t>
            </w:r>
            <w:r>
              <w:t xml:space="preserve"> </w:t>
            </w:r>
            <w:r>
              <w:t xml:space="preserve">Chemical Engineer</w:t>
            </w:r>
            <w:r>
              <w:t xml:space="preserve"> </w:t>
            </w:r>
            <w:r>
              <w:t xml:space="preserve">process control systems at the Almaty plant site.</w:t>
            </w:r>
          </w:p>
        </w:tc>
        <w:tc>
          <w:tcPr/>
          <w:p>
            <w:pPr>
              <w:pStyle w:val="Compact"/>
              <w:jc w:val="left"/>
            </w:pPr>
            <w:r>
              <w:t xml:space="preserve">Months 10–14</w:t>
            </w:r>
          </w:p>
        </w:tc>
        <w:tc>
          <w:tcPr/>
          <w:p>
            <w:pPr>
              <w:pStyle w:val="Compact"/>
              <w:jc w:val="left"/>
            </w:pPr>
            <w:r>
              <w:t xml:space="preserve">Per Month</w:t>
            </w:r>
          </w:p>
        </w:tc>
        <w:tc>
          <w:tcPr/>
          <w:p>
            <w:pPr>
              <w:pStyle w:val="Compact"/>
              <w:jc w:val="left"/>
            </w:pPr>
            <w:r>
              <w:t xml:space="preserve">7,400,000</w:t>
            </w:r>
          </w:p>
        </w:tc>
      </w:tr>
      <w:tr>
        <w:tc>
          <w:tcPr/>
          <w:p>
            <w:pPr>
              <w:pStyle w:val="Compact"/>
              <w:jc w:val="left"/>
            </w:pPr>
            <w:r>
              <w:t xml:space="preserve">06</w:t>
            </w:r>
          </w:p>
        </w:tc>
        <w:tc>
          <w:tcPr/>
          <w:p>
            <w:pPr>
              <w:pStyle w:val="Compact"/>
              <w:jc w:val="left"/>
            </w:pPr>
            <w:r>
              <w:t xml:space="preserve">Preparation of the complete Technical Design Documentation package for submission to the Kazakhstan State Expertise Committee for construction permit approval.</w:t>
            </w:r>
          </w:p>
        </w:tc>
        <w:tc>
          <w:tcPr/>
          <w:p>
            <w:pPr>
              <w:pStyle w:val="Compact"/>
              <w:jc w:val="left"/>
            </w:pPr>
            <w:r>
              <w:t xml:space="preserve">Months 8–12</w:t>
            </w:r>
          </w:p>
        </w:tc>
        <w:tc>
          <w:tcPr/>
          <w:p>
            <w:pPr>
              <w:pStyle w:val="Compact"/>
              <w:jc w:val="left"/>
            </w:pPr>
            <w:r>
              <w:t xml:space="preserve">Lump Sum</w:t>
            </w:r>
          </w:p>
        </w:tc>
        <w:tc>
          <w:tcPr/>
          <w:p>
            <w:pPr>
              <w:pStyle w:val="Compact"/>
              <w:jc w:val="left"/>
            </w:pPr>
            <w:r>
              <w:t xml:space="preserve">11,300,000</w:t>
            </w:r>
          </w:p>
        </w:tc>
      </w:tr>
      <w:tr>
        <w:tc>
          <w:tcPr/>
          <w:p>
            <w:pPr>
              <w:pStyle w:val="Compact"/>
              <w:jc w:val="left"/>
            </w:pPr>
            <w:r>
              <w:t xml:space="preserve">07</w:t>
            </w:r>
          </w:p>
        </w:tc>
        <w:tc>
          <w:tcPr/>
          <w:p>
            <w:pPr>
              <w:pStyle w:val="Compact"/>
              <w:jc w:val="left"/>
            </w:pPr>
            <w:r>
              <w:t xml:space="preserve">Annual maintenance planning and predictive process optimization report for the first year of commercial operation in</w:t>
            </w:r>
            <w:r>
              <w:t xml:space="preserve"> </w:t>
            </w:r>
            <w:r>
              <w:t xml:space="preserve">Kazakhstan Almaty</w:t>
            </w:r>
            <w:r>
              <w:t xml:space="preserve">.</w:t>
            </w:r>
          </w:p>
        </w:tc>
        <w:tc>
          <w:tcPr/>
          <w:p>
            <w:pPr>
              <w:pStyle w:val="Compact"/>
              <w:jc w:val="left"/>
            </w:pPr>
            <w:r>
              <w:t xml:space="preserve">Month 14</w:t>
            </w:r>
          </w:p>
        </w:tc>
        <w:tc>
          <w:tcPr/>
          <w:p>
            <w:pPr>
              <w:pStyle w:val="Compact"/>
              <w:jc w:val="left"/>
            </w:pPr>
            <w:r>
              <w:t xml:space="preserve">Lump Sum</w:t>
            </w:r>
          </w:p>
        </w:tc>
        <w:tc>
          <w:tcPr/>
          <w:p>
            <w:pPr>
              <w:pStyle w:val="Compact"/>
              <w:jc w:val="left"/>
            </w:pPr>
            <w:r>
              <w:t xml:space="preserve">5,200,000</w:t>
            </w:r>
          </w:p>
        </w:tc>
      </w:tr>
      <w:tr>
        <w:tc>
          <w:tcPr>
            <w:gridSpan w:val="4"/>
          </w:tcPr>
          <w:p>
            <w:pPr>
              <w:pStyle w:val="Compact"/>
              <w:jc w:val="right"/>
            </w:pPr>
            <w:r>
              <w:t xml:space="preserve">Subtotal (KZT)</w:t>
            </w:r>
          </w:p>
        </w:tc>
        <w:tc>
          <w:tcPr/>
          <w:p>
            <w:pPr>
              <w:pStyle w:val="Compact"/>
              <w:jc w:val="left"/>
            </w:pPr>
            <w:r>
              <w:t xml:space="preserve">79,000,000</w:t>
            </w:r>
          </w:p>
        </w:tc>
      </w:tr>
      <w:tr>
        <w:tc>
          <w:tcPr>
            <w:gridSpan w:val="4"/>
          </w:tcPr>
          <w:p>
            <w:pPr>
              <w:pStyle w:val="Compact"/>
              <w:jc w:val="right"/>
            </w:pPr>
            <w:r>
              <w:t xml:space="preserve">VAT (12% – Kazakhstan Standard Rate)</w:t>
            </w:r>
          </w:p>
        </w:tc>
        <w:tc>
          <w:tcPr/>
          <w:p>
            <w:pPr>
              <w:pStyle w:val="Compact"/>
              <w:jc w:val="left"/>
            </w:pPr>
            <w:r>
              <w:t xml:space="preserve">9,480,000</w:t>
            </w:r>
          </w:p>
        </w:tc>
      </w:tr>
      <w:tr>
        <w:tc>
          <w:tcPr>
            <w:gridSpan w:val="4"/>
          </w:tcPr>
          <w:p>
            <w:pPr>
              <w:pStyle w:val="Compact"/>
              <w:jc w:val="right"/>
            </w:pPr>
            <w:r>
              <w:t xml:space="preserve">TOTAL AMOUNT (KZT)</w:t>
            </w:r>
          </w:p>
        </w:tc>
        <w:tc>
          <w:tcPr/>
          <w:p>
            <w:pPr>
              <w:pStyle w:val="Compact"/>
              <w:jc w:val="left"/>
            </w:pPr>
            <w:r>
              <w:t xml:space="preserve">88,480,000</w:t>
            </w:r>
          </w:p>
        </w:tc>
      </w:tr>
      <w:tr>
        <w:tc>
          <w:tcPr>
            <w:gridSpan w:val="4"/>
          </w:tcPr>
          <w:p>
            <w:pPr>
              <w:pStyle w:val="Compact"/>
              <w:jc w:val="right"/>
            </w:pPr>
            <w:r>
              <w:t xml:space="preserve">TOTAL AMOUNT (USD – Approx. at 475 KZT/USD)</w:t>
            </w:r>
          </w:p>
        </w:tc>
        <w:tc>
          <w:tcPr/>
          <w:p>
            <w:pPr>
              <w:pStyle w:val="Compact"/>
              <w:jc w:val="left"/>
            </w:pPr>
            <w:r>
              <w:t xml:space="preserve">186,274</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Upon expiration, all pricing and availability commitments shall be subject to re-evaluation.</w:t>
      </w:r>
    </w:p>
    <w:p>
      <w:pPr>
        <w:numPr>
          <w:ilvl w:val="0"/>
          <w:numId w:val="1001"/>
        </w:numPr>
        <w:pStyle w:val="Compact"/>
      </w:pPr>
      <w:r>
        <w:t xml:space="preserve">Payment shall be structured as follows: 25% advance payment upon contract execution, 40% upon completion of the detailed design phase (Month 6), 25% upon successful commissioning (Month 12), and 10% upon final acceptance of all deliverables (Month 14).</w:t>
      </w:r>
    </w:p>
    <w:p>
      <w:pPr>
        <w:numPr>
          <w:ilvl w:val="0"/>
          <w:numId w:val="1001"/>
        </w:numPr>
        <w:pStyle w:val="Compact"/>
      </w:pPr>
      <w:r>
        <w:t xml:space="preserve">All payments shall be made in Kazakhstani Tenge (KZT) via bank transfer to the account of the contracting</w:t>
      </w:r>
      <w:r>
        <w:t xml:space="preserve"> </w:t>
      </w:r>
      <w:r>
        <w:t xml:space="preserve">Chemical Engineer</w:t>
      </w:r>
      <w:r>
        <w:t xml:space="preserve"> </w:t>
      </w:r>
      <w:r>
        <w:t xml:space="preserve">consultancy firm registered in Almaty, Kazakhstan. International payments in USD are acceptable subject to a 2% currency conversion surcharge.</w:t>
      </w:r>
    </w:p>
    <w:p>
      <w:pPr>
        <w:numPr>
          <w:ilvl w:val="0"/>
          <w:numId w:val="1001"/>
        </w:numPr>
        <w:pStyle w:val="Compact"/>
      </w:pPr>
      <w:r>
        <w:t xml:space="preserve">The</w:t>
      </w:r>
      <w:r>
        <w:t xml:space="preserve"> </w:t>
      </w:r>
      <w:r>
        <w:t xml:space="preserve">Chemical Engineer</w:t>
      </w:r>
      <w:r>
        <w:t xml:space="preserve"> </w:t>
      </w:r>
      <w:r>
        <w:t xml:space="preserve">shall maintain professional liability insurance with a minimum coverage of 50,000,000 KZT throughout the duration of the engagement, as required by Kazakhstan professional engineering regulations.</w:t>
      </w:r>
    </w:p>
    <w:p>
      <w:pPr>
        <w:numPr>
          <w:ilvl w:val="0"/>
          <w:numId w:val="1001"/>
        </w:numPr>
        <w:pStyle w:val="Compact"/>
      </w:pPr>
      <w:r>
        <w:t xml:space="preserve">All intellectual property, process designs, and technical documentation produced under this contract shall become the exclusive property of Almaty Petrochemical Industries LLP upon full payment.</w:t>
      </w:r>
    </w:p>
    <w:p>
      <w:pPr>
        <w:numPr>
          <w:ilvl w:val="0"/>
          <w:numId w:val="1001"/>
        </w:numPr>
        <w:pStyle w:val="Compact"/>
      </w:pPr>
      <w:r>
        <w:t xml:space="preserve">Force majeure events, including but not limited to natural disasters affecting the Almaty region, government-mandated shutdowns, or supply chain disruptions specific to</w:t>
      </w:r>
      <w:r>
        <w:t xml:space="preserve"> </w:t>
      </w:r>
      <w:r>
        <w:t xml:space="preserve">Kazakhstan Almaty</w:t>
      </w:r>
      <w:r>
        <w:t xml:space="preserve">, shall extend the project timeline proportionally without penalty to either party.</w:t>
      </w:r>
    </w:p>
    <w:p>
      <w:pPr>
        <w:numPr>
          <w:ilvl w:val="0"/>
          <w:numId w:val="1001"/>
        </w:numPr>
        <w:pStyle w:val="Compact"/>
      </w:pPr>
      <w:r>
        <w:t xml:space="preserve">Any changes to the scope of work must be documented in a formal Change Order signed by both parties. The</w:t>
      </w:r>
      <w:r>
        <w:t xml:space="preserve"> </w:t>
      </w:r>
      <w:r>
        <w:t xml:space="preserve">Quotation Estimate</w:t>
      </w:r>
      <w:r>
        <w:t xml:space="preserve"> </w:t>
      </w:r>
      <w:r>
        <w:t xml:space="preserve">pricing shall be adjusted accordingly based on the revised scope.</w:t>
      </w:r>
    </w:p>
    <w:p>
      <w:pPr>
        <w:numPr>
          <w:ilvl w:val="0"/>
          <w:numId w:val="1001"/>
        </w:numPr>
        <w:pStyle w:val="Compact"/>
      </w:pPr>
      <w:r>
        <w:t xml:space="preserve">Disputes arising from this agreement shall be resolved through arbitration in Almaty, Kazakhstan, in accordance with the rules of the Almaty International Arbitration Centre.</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assumes that the client will provide all necessary site access, existing plant data, and regulatory correspondence within five (5) business days of contract commencement. Delays in providing such materials may result in schedule extensions and additional costs as per the Change Order procedure. The</w:t>
      </w:r>
      <w:r>
        <w:t xml:space="preserve"> </w:t>
      </w:r>
      <w:r>
        <w:t xml:space="preserve">Chemical Engineer</w:t>
      </w:r>
      <w:r>
        <w:t xml:space="preserve"> </w:t>
      </w:r>
      <w:r>
        <w:t xml:space="preserve">team will be based in Almaty, Kazakhstan, for the duration of on-site activities, with travel and accommodation costs included in the lump-sum pricing above.</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the terms, conditions, and pricing outlined in this</w:t>
      </w:r>
      <w:r>
        <w:t xml:space="preserve"> </w:t>
      </w:r>
      <w:r>
        <w:t xml:space="preserve">Quotation Estimate</w:t>
      </w:r>
      <w:r>
        <w:t xml:space="preserve"> </w:t>
      </w:r>
      <w:r>
        <w:t xml:space="preserve">for the engagement of the</w:t>
      </w:r>
      <w:r>
        <w:t xml:space="preserve"> </w:t>
      </w:r>
      <w:r>
        <w:t xml:space="preserve">Chemical Engineer</w:t>
      </w:r>
      <w:r>
        <w:t xml:space="preserve"> </w:t>
      </w:r>
      <w:r>
        <w:t xml:space="preserve">services in</w:t>
      </w:r>
      <w:r>
        <w:t xml:space="preserve"> </w:t>
      </w:r>
      <w:r>
        <w:t xml:space="preserve">Kazakhstan Almaty</w:t>
      </w:r>
      <w:r>
        <w:t xml:space="preserve">. This document, once countersigned, shall constitute a binding service agreement between the parties.</w:t>
      </w:r>
    </w:p>
    <w:p>
      <w:pPr>
        <w:pStyle w:val="BodyText"/>
      </w:pPr>
      <w:r>
        <w:rPr>
          <w:bCs/>
          <w:b/>
        </w:rPr>
        <w:t xml:space="preserve">For: Almaty Petrochemical Industries LLP</w:t>
      </w:r>
      <w:r>
        <w:br/>
      </w:r>
      <w:r>
        <w:t xml:space="preserve">Name: _________________________</w:t>
      </w:r>
      <w:r>
        <w:br/>
      </w:r>
      <w:r>
        <w:t xml:space="preserve">Title: _________________________</w:t>
      </w:r>
      <w:r>
        <w:br/>
      </w:r>
      <w:r>
        <w:t xml:space="preserve">Date: _________________________</w:t>
      </w:r>
      <w:r>
        <w:br/>
      </w:r>
      <w:r>
        <w:t xml:space="preserve">Company Stamp:</w:t>
      </w:r>
    </w:p>
    <w:p>
      <w:pPr>
        <w:pStyle w:val="BodyText"/>
      </w:pPr>
      <w:r>
        <w:rPr>
          <w:bCs/>
          <w:b/>
        </w:rPr>
        <w:t xml:space="preserve">For: Chemical Engineer Consultancy (KZ)</w:t>
      </w:r>
      <w:r>
        <w:br/>
      </w:r>
      <w:r>
        <w:t xml:space="preserve">Name: Dr. A. Serikbayev</w:t>
      </w:r>
      <w:r>
        <w:br/>
      </w:r>
      <w:r>
        <w:t xml:space="preserve">Title: Lead Chemical Engineer, P.Eng.</w:t>
      </w:r>
      <w:r>
        <w:br/>
      </w:r>
      <w:r>
        <w:t xml:space="preserve">Date: _________________________</w:t>
      </w:r>
      <w:r>
        <w:br/>
      </w:r>
      <w:r>
        <w:t xml:space="preserve">Company Stamp:</w:t>
      </w:r>
    </w:p>
    <w:p>
      <w:pPr>
        <w:pStyle w:val="BodyText"/>
      </w:pPr>
      <w:r>
        <w:t xml:space="preserve">Quotation Estimate No. QE-2025-CE-0342 | Chemical Engineer Services | Kazakhstan Almaty</w:t>
      </w:r>
    </w:p>
    <w:p>
      <w:pPr>
        <w:pStyle w:val="BodyText"/>
      </w:pPr>
      <w:r>
        <w:t xml:space="preserve">This document is confidential and intended solely for the named recipient. Unauthorized reproduction or distribution is prohibited under Kazakhstan intellectual property law.</w:t>
      </w:r>
    </w:p>
    <w:p>
      <w:pPr>
        <w:pStyle w:val="BodyText"/>
      </w:pPr>
      <w:r>
        <w:t xml:space="preserve">© 2025 Chemical Engineer Consultancy LLP, Almaty, Kazakhstan.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Kazakhstan Almaty</dc:title>
  <dc:creator/>
  <dc:language>en</dc:language>
  <cp:keywords/>
  <dcterms:created xsi:type="dcterms:W3CDTF">2026-10-10T07:01:27Z</dcterms:created>
  <dcterms:modified xsi:type="dcterms:W3CDTF">2026-10-10T07:01:27Z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